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1E151" w14:textId="0281BBB1" w:rsidR="004304C3" w:rsidRPr="00CA495D" w:rsidRDefault="004304C3" w:rsidP="008279C1">
      <w:pPr>
        <w:keepNext/>
        <w:keepLines/>
        <w:spacing w:before="200" w:after="0" w:line="240" w:lineRule="auto"/>
        <w:outlineLvl w:val="1"/>
        <w:rPr>
          <w:rFonts w:asciiTheme="majorHAnsi" w:eastAsiaTheme="majorEastAsia" w:hAnsiTheme="majorHAnsi" w:cs="B Roya"/>
          <w:b/>
          <w:bCs/>
          <w:sz w:val="28"/>
          <w:szCs w:val="28"/>
          <w:rtl/>
        </w:rPr>
      </w:pPr>
      <w:r w:rsidRPr="00CA495D">
        <w:rPr>
          <w:rFonts w:asciiTheme="majorHAnsi" w:eastAsiaTheme="majorEastAsia" w:hAnsiTheme="majorHAnsi" w:cs="B Roya" w:hint="cs"/>
          <w:b/>
          <w:bCs/>
          <w:sz w:val="28"/>
          <w:szCs w:val="28"/>
          <w:rtl/>
        </w:rPr>
        <w:t xml:space="preserve">کرسی علمی-ترویجی </w:t>
      </w:r>
      <w:r w:rsidR="008279C1">
        <w:rPr>
          <w:rFonts w:asciiTheme="majorHAnsi" w:eastAsiaTheme="majorEastAsia" w:hAnsiTheme="majorHAnsi" w:cs="B Roya" w:hint="cs"/>
          <w:b/>
          <w:bCs/>
          <w:sz w:val="28"/>
          <w:szCs w:val="28"/>
          <w:rtl/>
        </w:rPr>
        <w:t>124</w:t>
      </w:r>
    </w:p>
    <w:p w14:paraId="361DAB48" w14:textId="77183C8D" w:rsidR="004304C3" w:rsidRPr="00CA495D" w:rsidRDefault="008279C1" w:rsidP="00B344B3">
      <w:pPr>
        <w:keepNext/>
        <w:keepLines/>
        <w:spacing w:before="200" w:after="0" w:line="240" w:lineRule="auto"/>
        <w:outlineLvl w:val="1"/>
        <w:rPr>
          <w:rFonts w:asciiTheme="majorHAnsi" w:eastAsiaTheme="majorEastAsia" w:hAnsiTheme="majorHAnsi" w:cs="B Roya"/>
          <w:b/>
          <w:bCs/>
          <w:sz w:val="28"/>
          <w:szCs w:val="28"/>
          <w:rtl/>
        </w:rPr>
      </w:pPr>
      <w:r>
        <w:rPr>
          <w:rFonts w:asciiTheme="majorHAnsi" w:eastAsiaTheme="majorEastAsia" w:hAnsiTheme="majorHAnsi" w:cs="B Roya" w:hint="cs"/>
          <w:b/>
          <w:bCs/>
          <w:sz w:val="28"/>
          <w:szCs w:val="28"/>
          <w:rtl/>
        </w:rPr>
        <w:t>اولین</w:t>
      </w:r>
      <w:r w:rsidR="00C861DD" w:rsidRPr="00CA495D">
        <w:rPr>
          <w:rFonts w:asciiTheme="majorHAnsi" w:eastAsiaTheme="majorEastAsia" w:hAnsiTheme="majorHAnsi" w:cs="B Roya" w:hint="cs"/>
          <w:b/>
          <w:bCs/>
          <w:sz w:val="28"/>
          <w:szCs w:val="28"/>
          <w:rtl/>
        </w:rPr>
        <w:t xml:space="preserve"> </w:t>
      </w:r>
      <w:r w:rsidR="00B344B3">
        <w:rPr>
          <w:rFonts w:asciiTheme="majorHAnsi" w:eastAsiaTheme="majorEastAsia" w:hAnsiTheme="majorHAnsi" w:cs="B Roya" w:hint="cs"/>
          <w:b/>
          <w:bCs/>
          <w:sz w:val="28"/>
          <w:szCs w:val="28"/>
          <w:rtl/>
        </w:rPr>
        <w:t>کرسی</w:t>
      </w:r>
      <w:r w:rsidR="004304C3" w:rsidRPr="00CA495D">
        <w:rPr>
          <w:rFonts w:asciiTheme="majorHAnsi" w:eastAsiaTheme="majorEastAsia" w:hAnsiTheme="majorHAnsi" w:cs="B Roya" w:hint="cs"/>
          <w:b/>
          <w:bCs/>
          <w:sz w:val="28"/>
          <w:szCs w:val="28"/>
          <w:rtl/>
        </w:rPr>
        <w:t xml:space="preserve"> همایش علوم انسانی اسلامی در اندیشه علامه مصباح یزدی (ره)</w:t>
      </w:r>
    </w:p>
    <w:p w14:paraId="2B40AE3E" w14:textId="406996D9" w:rsidR="004304C3" w:rsidRPr="00CA495D" w:rsidRDefault="000A659C" w:rsidP="000A659C">
      <w:pPr>
        <w:keepNext/>
        <w:keepLines/>
        <w:spacing w:before="200" w:after="0" w:line="240" w:lineRule="auto"/>
        <w:outlineLvl w:val="1"/>
        <w:rPr>
          <w:rFonts w:asciiTheme="majorHAnsi" w:eastAsiaTheme="majorEastAsia" w:hAnsiTheme="majorHAnsi" w:cs="B Roya" w:hint="cs"/>
          <w:b/>
          <w:bCs/>
          <w:sz w:val="28"/>
          <w:szCs w:val="28"/>
          <w:u w:val="single"/>
          <w:rtl/>
        </w:rPr>
      </w:pPr>
      <w:r w:rsidRPr="000A659C">
        <w:rPr>
          <w:rFonts w:asciiTheme="majorHAnsi" w:eastAsiaTheme="majorEastAsia" w:hAnsiTheme="majorHAnsi" w:cs="B Roya" w:hint="cs"/>
          <w:b/>
          <w:bCs/>
          <w:sz w:val="28"/>
          <w:szCs w:val="28"/>
          <w:u w:val="single"/>
          <w:rtl/>
        </w:rPr>
        <w:t>شهود و نقش آن در اسلامی سازی علوم انسانی از منظر علامه محمدتقی مصباح یزدی (ره)</w:t>
      </w:r>
    </w:p>
    <w:p w14:paraId="6B694621" w14:textId="06C3B6E4" w:rsidR="004304C3" w:rsidRPr="008279C1" w:rsidRDefault="008279C1" w:rsidP="00C2582D">
      <w:pPr>
        <w:keepNext/>
        <w:keepLines/>
        <w:spacing w:before="200" w:after="0" w:line="240" w:lineRule="auto"/>
        <w:outlineLvl w:val="1"/>
        <w:rPr>
          <w:rFonts w:asciiTheme="majorHAnsi" w:eastAsiaTheme="majorEastAsia" w:hAnsiTheme="majorHAnsi" w:cs="B Roya"/>
          <w:sz w:val="28"/>
          <w:szCs w:val="28"/>
          <w:u w:val="single"/>
          <w:rtl/>
        </w:rPr>
      </w:pPr>
      <w:r w:rsidRPr="008279C1">
        <w:rPr>
          <w:rFonts w:asciiTheme="majorHAnsi" w:eastAsiaTheme="majorEastAsia" w:hAnsiTheme="majorHAnsi" w:cs="B Roya" w:hint="cs"/>
          <w:sz w:val="28"/>
          <w:szCs w:val="28"/>
          <w:u w:val="single"/>
          <w:rtl/>
        </w:rPr>
        <w:t>احمد سعیدی</w:t>
      </w:r>
      <w:r w:rsidR="00874DF6" w:rsidRPr="008279C1">
        <w:rPr>
          <w:rStyle w:val="FootnoteReference"/>
          <w:rFonts w:asciiTheme="majorHAnsi" w:eastAsiaTheme="majorEastAsia" w:hAnsiTheme="majorHAnsi" w:cs="B Roya"/>
          <w:sz w:val="28"/>
          <w:szCs w:val="28"/>
          <w:u w:val="single"/>
          <w:rtl/>
        </w:rPr>
        <w:footnoteReference w:id="1"/>
      </w:r>
    </w:p>
    <w:p w14:paraId="40B45660" w14:textId="77777777" w:rsidR="00D23074" w:rsidRPr="00CA495D" w:rsidRDefault="00D23074" w:rsidP="004304C3">
      <w:pPr>
        <w:keepNext/>
        <w:keepLines/>
        <w:spacing w:before="200" w:after="0" w:line="240" w:lineRule="auto"/>
        <w:outlineLvl w:val="1"/>
        <w:rPr>
          <w:rFonts w:asciiTheme="majorHAnsi" w:eastAsiaTheme="majorEastAsia" w:hAnsiTheme="majorHAnsi" w:cs="B Roya"/>
          <w:b/>
          <w:bCs/>
          <w:sz w:val="28"/>
          <w:szCs w:val="28"/>
          <w:u w:val="single"/>
          <w:rtl/>
        </w:rPr>
      </w:pPr>
      <w:r w:rsidRPr="00CA495D">
        <w:rPr>
          <w:rFonts w:asciiTheme="majorHAnsi" w:eastAsiaTheme="majorEastAsia" w:hAnsiTheme="majorHAnsi" w:cs="B Roya" w:hint="cs"/>
          <w:b/>
          <w:bCs/>
          <w:sz w:val="28"/>
          <w:szCs w:val="28"/>
          <w:u w:val="single"/>
          <w:rtl/>
        </w:rPr>
        <w:t>چکیده</w:t>
      </w:r>
    </w:p>
    <w:p w14:paraId="61627A6A" w14:textId="697FEB8A" w:rsidR="00B23FAB" w:rsidRPr="00CA495D" w:rsidRDefault="00B23FAB" w:rsidP="008279C1">
      <w:pPr>
        <w:spacing w:line="240" w:lineRule="auto"/>
        <w:jc w:val="both"/>
        <w:rPr>
          <w:rFonts w:cs="B Roya"/>
          <w:sz w:val="28"/>
          <w:szCs w:val="28"/>
          <w:rtl/>
        </w:rPr>
      </w:pPr>
      <w:r w:rsidRPr="00CA495D">
        <w:rPr>
          <w:rFonts w:cs="B Roya" w:hint="cs"/>
          <w:b/>
          <w:bCs/>
          <w:sz w:val="28"/>
          <w:szCs w:val="28"/>
          <w:rtl/>
        </w:rPr>
        <w:t>هدف:</w:t>
      </w:r>
      <w:r w:rsidR="00C2582D">
        <w:rPr>
          <w:rFonts w:cs="B Roya" w:hint="cs"/>
          <w:sz w:val="28"/>
          <w:szCs w:val="28"/>
          <w:rtl/>
        </w:rPr>
        <w:t xml:space="preserve"> </w:t>
      </w:r>
      <w:r w:rsidR="008279C1" w:rsidRPr="008279C1">
        <w:rPr>
          <w:rFonts w:cs="B Roya" w:hint="cs"/>
          <w:sz w:val="28"/>
          <w:szCs w:val="28"/>
          <w:rtl/>
        </w:rPr>
        <w:t xml:space="preserve">هدف از این پژوهش، </w:t>
      </w:r>
      <w:r w:rsidR="000A659C">
        <w:rPr>
          <w:rFonts w:cs="B Roya"/>
          <w:sz w:val="28"/>
          <w:szCs w:val="28"/>
          <w:rtl/>
        </w:rPr>
        <w:t>ارائه</w:t>
      </w:r>
      <w:r w:rsidR="008279C1" w:rsidRPr="008279C1">
        <w:rPr>
          <w:rFonts w:cs="B Roya" w:hint="cs"/>
          <w:sz w:val="28"/>
          <w:szCs w:val="28"/>
          <w:rtl/>
        </w:rPr>
        <w:t xml:space="preserve"> یک راه‌کار کلی برای نقادی و اصلاح مبانی علوم انسانی موجود ـ </w:t>
      </w:r>
      <w:r w:rsidR="000A659C">
        <w:rPr>
          <w:rFonts w:cs="B Roya" w:hint="cs"/>
          <w:sz w:val="28"/>
          <w:szCs w:val="28"/>
          <w:rtl/>
        </w:rPr>
        <w:t>به‌عنوان</w:t>
      </w:r>
      <w:r w:rsidR="008279C1" w:rsidRPr="008279C1">
        <w:rPr>
          <w:rFonts w:cs="B Roya" w:hint="cs"/>
          <w:sz w:val="28"/>
          <w:szCs w:val="28"/>
          <w:rtl/>
        </w:rPr>
        <w:t xml:space="preserve"> یک </w:t>
      </w:r>
      <w:r w:rsidR="000A659C">
        <w:rPr>
          <w:rFonts w:cs="B Roya" w:hint="cs"/>
          <w:sz w:val="28"/>
          <w:szCs w:val="28"/>
          <w:rtl/>
        </w:rPr>
        <w:t>مرحله</w:t>
      </w:r>
      <w:r w:rsidR="008279C1" w:rsidRPr="008279C1">
        <w:rPr>
          <w:rFonts w:cs="B Roya" w:hint="cs"/>
          <w:sz w:val="28"/>
          <w:szCs w:val="28"/>
          <w:rtl/>
        </w:rPr>
        <w:t xml:space="preserve"> اساسی در تولید علوم انسانی اسلامی ـ با استفاده از آموزه‌های عرفانی و فلسفی </w:t>
      </w:r>
      <w:r w:rsidR="000A659C">
        <w:rPr>
          <w:rFonts w:cs="B Roya" w:hint="cs"/>
          <w:sz w:val="28"/>
          <w:szCs w:val="28"/>
          <w:rtl/>
        </w:rPr>
        <w:t>به‌ویژه</w:t>
      </w:r>
      <w:r w:rsidR="008279C1" w:rsidRPr="008279C1">
        <w:rPr>
          <w:rFonts w:cs="B Roya" w:hint="cs"/>
          <w:sz w:val="28"/>
          <w:szCs w:val="28"/>
          <w:rtl/>
        </w:rPr>
        <w:t xml:space="preserve"> دیدگاه‌های مرحوم علامه مصباح یزدی </w:t>
      </w:r>
      <w:r w:rsidR="008279C1" w:rsidRPr="008279C1">
        <w:rPr>
          <w:rFonts w:cs="B Roya" w:hint="eastAsia"/>
          <w:sz w:val="28"/>
          <w:szCs w:val="28"/>
          <w:rtl/>
        </w:rPr>
        <w:t>(ره)</w:t>
      </w:r>
      <w:r w:rsidR="008279C1" w:rsidRPr="008279C1">
        <w:rPr>
          <w:rFonts w:cs="B Roya" w:hint="cs"/>
          <w:sz w:val="28"/>
          <w:szCs w:val="28"/>
          <w:rtl/>
        </w:rPr>
        <w:t xml:space="preserve"> </w:t>
      </w:r>
      <w:r w:rsidR="000A659C">
        <w:rPr>
          <w:rFonts w:cs="B Roya"/>
          <w:sz w:val="28"/>
          <w:szCs w:val="28"/>
          <w:rtl/>
        </w:rPr>
        <w:t>درزم</w:t>
      </w:r>
      <w:r w:rsidR="000A659C">
        <w:rPr>
          <w:rFonts w:cs="B Roya" w:hint="cs"/>
          <w:sz w:val="28"/>
          <w:szCs w:val="28"/>
          <w:rtl/>
        </w:rPr>
        <w:t>ی</w:t>
      </w:r>
      <w:r w:rsidR="000A659C">
        <w:rPr>
          <w:rFonts w:cs="B Roya" w:hint="eastAsia"/>
          <w:sz w:val="28"/>
          <w:szCs w:val="28"/>
          <w:rtl/>
        </w:rPr>
        <w:t>نه</w:t>
      </w:r>
      <w:r w:rsidR="000A659C">
        <w:rPr>
          <w:rFonts w:ascii="Times New Roman" w:hAnsi="Times New Roman" w:cs="Times New Roman" w:hint="cs"/>
          <w:sz w:val="28"/>
          <w:szCs w:val="28"/>
          <w:rtl/>
        </w:rPr>
        <w:softHyphen/>
      </w:r>
      <w:bookmarkStart w:id="0" w:name="_GoBack"/>
      <w:bookmarkEnd w:id="0"/>
      <w:r w:rsidR="000A659C">
        <w:rPr>
          <w:rFonts w:cs="B Roya" w:hint="cs"/>
          <w:sz w:val="28"/>
          <w:szCs w:val="28"/>
          <w:rtl/>
        </w:rPr>
        <w:t>ی</w:t>
      </w:r>
      <w:r w:rsidR="008279C1" w:rsidRPr="008279C1">
        <w:rPr>
          <w:rFonts w:cs="B Roya" w:hint="cs"/>
          <w:sz w:val="28"/>
          <w:szCs w:val="28"/>
          <w:rtl/>
        </w:rPr>
        <w:t xml:space="preserve"> شهود است.</w:t>
      </w:r>
    </w:p>
    <w:p w14:paraId="19FF10AC" w14:textId="42300AC3" w:rsidR="00B23FAB" w:rsidRPr="00CA495D" w:rsidRDefault="00B23FAB" w:rsidP="008279C1">
      <w:pPr>
        <w:spacing w:line="240" w:lineRule="auto"/>
        <w:jc w:val="both"/>
        <w:rPr>
          <w:rFonts w:cs="B Roya"/>
          <w:sz w:val="28"/>
          <w:szCs w:val="28"/>
          <w:rtl/>
        </w:rPr>
      </w:pPr>
      <w:r w:rsidRPr="00CA495D">
        <w:rPr>
          <w:rFonts w:cs="B Roya" w:hint="cs"/>
          <w:b/>
          <w:bCs/>
          <w:sz w:val="28"/>
          <w:szCs w:val="28"/>
          <w:rtl/>
        </w:rPr>
        <w:t>روش‌شناسی پژوهش</w:t>
      </w:r>
      <w:r w:rsidRPr="00CA495D">
        <w:rPr>
          <w:rFonts w:cs="B Roya" w:hint="cs"/>
          <w:sz w:val="28"/>
          <w:szCs w:val="28"/>
          <w:rtl/>
        </w:rPr>
        <w:t>:</w:t>
      </w:r>
      <w:r w:rsidR="00C2582D" w:rsidRPr="00C2582D">
        <w:rPr>
          <w:rFonts w:ascii="Calibri" w:hAnsi="Calibri" w:cs="Calibri"/>
          <w:rtl/>
        </w:rPr>
        <w:t xml:space="preserve"> </w:t>
      </w:r>
      <w:r w:rsidR="008279C1" w:rsidRPr="008279C1">
        <w:rPr>
          <w:rFonts w:cs="B Roya" w:hint="cs"/>
          <w:sz w:val="28"/>
          <w:szCs w:val="28"/>
          <w:rtl/>
        </w:rPr>
        <w:t>روش</w:t>
      </w:r>
      <w:r w:rsidR="008279C1">
        <w:rPr>
          <w:rFonts w:cs="B Roya" w:hint="cs"/>
          <w:sz w:val="28"/>
          <w:szCs w:val="28"/>
          <w:rtl/>
        </w:rPr>
        <w:t xml:space="preserve"> این پژوهش، تحلیلی و توصیفی است</w:t>
      </w:r>
      <w:r w:rsidR="00D23074" w:rsidRPr="00CA495D">
        <w:rPr>
          <w:rFonts w:cs="B Roya" w:hint="cs"/>
          <w:sz w:val="28"/>
          <w:szCs w:val="28"/>
          <w:rtl/>
        </w:rPr>
        <w:t>.</w:t>
      </w:r>
    </w:p>
    <w:p w14:paraId="567834C3" w14:textId="6DBFB2E4" w:rsidR="008279C1" w:rsidRPr="008279C1" w:rsidRDefault="00B23FAB" w:rsidP="008279C1">
      <w:pPr>
        <w:spacing w:line="240" w:lineRule="auto"/>
        <w:jc w:val="both"/>
        <w:rPr>
          <w:rFonts w:cs="B Roya"/>
          <w:sz w:val="28"/>
          <w:szCs w:val="28"/>
        </w:rPr>
      </w:pPr>
      <w:r w:rsidRPr="00CA495D">
        <w:rPr>
          <w:rFonts w:cs="B Roya" w:hint="cs"/>
          <w:b/>
          <w:bCs/>
          <w:sz w:val="28"/>
          <w:szCs w:val="28"/>
          <w:rtl/>
        </w:rPr>
        <w:t>ی</w:t>
      </w:r>
      <w:r w:rsidRPr="00CA495D">
        <w:rPr>
          <w:rFonts w:cs="B Roya" w:hint="eastAsia"/>
          <w:b/>
          <w:bCs/>
          <w:sz w:val="28"/>
          <w:szCs w:val="28"/>
          <w:rtl/>
        </w:rPr>
        <w:t>افته‌ها</w:t>
      </w:r>
      <w:r w:rsidRPr="00CA495D">
        <w:rPr>
          <w:rFonts w:cs="B Roya" w:hint="cs"/>
          <w:b/>
          <w:bCs/>
          <w:sz w:val="28"/>
          <w:szCs w:val="28"/>
          <w:rtl/>
        </w:rPr>
        <w:t>:</w:t>
      </w:r>
      <w:r w:rsidRPr="00CA495D">
        <w:rPr>
          <w:rFonts w:cs="B Roya" w:hint="cs"/>
          <w:sz w:val="28"/>
          <w:szCs w:val="28"/>
          <w:rtl/>
        </w:rPr>
        <w:t xml:space="preserve"> </w:t>
      </w:r>
      <w:r w:rsidR="008279C1" w:rsidRPr="008279C1">
        <w:rPr>
          <w:rFonts w:cs="B Roya" w:hint="cs"/>
          <w:sz w:val="28"/>
          <w:szCs w:val="28"/>
          <w:rtl/>
        </w:rPr>
        <w:t xml:space="preserve">منظور از شهود، مطلق علم حضوری است. علم حضوری علمی است که با معلوم یکی است و می‌تواند با عالم نیز یکی باشد یا نباشد. علم حضوری </w:t>
      </w:r>
      <w:r w:rsidR="000A659C">
        <w:rPr>
          <w:rFonts w:cs="B Roya" w:hint="cs"/>
          <w:sz w:val="28"/>
          <w:szCs w:val="28"/>
          <w:rtl/>
        </w:rPr>
        <w:t>برحسب</w:t>
      </w:r>
      <w:r w:rsidR="008279C1" w:rsidRPr="008279C1">
        <w:rPr>
          <w:rFonts w:cs="B Roya" w:hint="cs"/>
          <w:sz w:val="28"/>
          <w:szCs w:val="28"/>
          <w:rtl/>
        </w:rPr>
        <w:t xml:space="preserve"> تغایر یا اتحادِ با عالم، به شهودهای عین‌الیقینی و حق‌الیقینی تقسیم می‌شود. در شهود حق‌الیقینی، معلوم همه یا بخشی از وجود عالم هست یا می‌شود. در شهود عین‌الیقینی، معلوم </w:t>
      </w:r>
      <w:r w:rsidR="000A659C">
        <w:rPr>
          <w:rFonts w:cs="B Roya"/>
          <w:sz w:val="28"/>
          <w:szCs w:val="28"/>
          <w:rtl/>
        </w:rPr>
        <w:t>واقعاً</w:t>
      </w:r>
      <w:r w:rsidR="008279C1" w:rsidRPr="008279C1">
        <w:rPr>
          <w:rFonts w:cs="B Roya" w:hint="cs"/>
          <w:sz w:val="28"/>
          <w:szCs w:val="28"/>
          <w:rtl/>
        </w:rPr>
        <w:t xml:space="preserve"> غیر از عالم نیست ولی عالم معلوم را غیر از خود می‌بیند. این توجیه شهود عین‌الیقینی را نباید با تفکر ایدئالیستی در باب علم اشتباه گرفت، زیرا ادعای ما فقط در مورد شهودهای عین‌الیقینی است، نه در مورد علوم حصولی و نه در مورد شهودهای حق‌الیقینی. برخلاف دیدگاه ایدئالیست‌ها، </w:t>
      </w:r>
      <w:r w:rsidR="000A659C">
        <w:rPr>
          <w:rFonts w:cs="B Roya"/>
          <w:sz w:val="28"/>
          <w:szCs w:val="28"/>
          <w:rtl/>
        </w:rPr>
        <w:t>اولاً</w:t>
      </w:r>
      <w:r w:rsidR="008279C1" w:rsidRPr="008279C1">
        <w:rPr>
          <w:rFonts w:cs="B Roya" w:hint="cs"/>
          <w:sz w:val="28"/>
          <w:szCs w:val="28"/>
          <w:rtl/>
        </w:rPr>
        <w:t xml:space="preserve"> از طریق علم حصولی می‌توانیم به بیرون از خود علم مطابق با واقع داشته باشیم؛ </w:t>
      </w:r>
      <w:r w:rsidR="000A659C">
        <w:rPr>
          <w:rFonts w:cs="B Roya"/>
          <w:sz w:val="28"/>
          <w:szCs w:val="28"/>
          <w:rtl/>
        </w:rPr>
        <w:t>ثان</w:t>
      </w:r>
      <w:r w:rsidR="000A659C">
        <w:rPr>
          <w:rFonts w:cs="B Roya" w:hint="cs"/>
          <w:sz w:val="28"/>
          <w:szCs w:val="28"/>
          <w:rtl/>
        </w:rPr>
        <w:t>ی</w:t>
      </w:r>
      <w:r w:rsidR="000A659C">
        <w:rPr>
          <w:rFonts w:cs="B Roya" w:hint="eastAsia"/>
          <w:sz w:val="28"/>
          <w:szCs w:val="28"/>
          <w:rtl/>
        </w:rPr>
        <w:t>اً</w:t>
      </w:r>
      <w:r w:rsidR="008279C1" w:rsidRPr="008279C1">
        <w:rPr>
          <w:rFonts w:cs="B Roya" w:hint="cs"/>
          <w:sz w:val="28"/>
          <w:szCs w:val="28"/>
          <w:rtl/>
        </w:rPr>
        <w:t xml:space="preserve"> بدون </w:t>
      </w:r>
      <w:r w:rsidR="000A659C">
        <w:rPr>
          <w:rFonts w:cs="B Roya" w:hint="cs"/>
          <w:sz w:val="28"/>
          <w:szCs w:val="28"/>
          <w:rtl/>
        </w:rPr>
        <w:t>این‌که</w:t>
      </w:r>
      <w:r w:rsidR="008279C1" w:rsidRPr="008279C1">
        <w:rPr>
          <w:rFonts w:cs="B Roya" w:hint="cs"/>
          <w:sz w:val="28"/>
          <w:szCs w:val="28"/>
          <w:rtl/>
        </w:rPr>
        <w:t xml:space="preserve"> از درون خود خارج شویم می‌توانیم به اموری که در حال حاضر بیرون از ما هستند علم پیدا کنیم به این صورت که ما به خدمت واقع برویم و با واقع متحد شویم و آن را درونی کنیم، </w:t>
      </w:r>
      <w:r w:rsidR="000A659C">
        <w:rPr>
          <w:rFonts w:cs="B Roya" w:hint="cs"/>
          <w:sz w:val="28"/>
          <w:szCs w:val="28"/>
          <w:rtl/>
        </w:rPr>
        <w:t>چراکه</w:t>
      </w:r>
      <w:r w:rsidR="008279C1" w:rsidRPr="008279C1">
        <w:rPr>
          <w:rFonts w:cs="B Roya" w:hint="cs"/>
          <w:sz w:val="28"/>
          <w:szCs w:val="28"/>
          <w:rtl/>
        </w:rPr>
        <w:t xml:space="preserve"> انسان موجودی سیال است، نه ثابت.</w:t>
      </w:r>
    </w:p>
    <w:p w14:paraId="5C8D0C42" w14:textId="2D3C84F3" w:rsidR="008279C1" w:rsidRPr="008279C1" w:rsidRDefault="008279C1" w:rsidP="008279C1">
      <w:pPr>
        <w:spacing w:line="240" w:lineRule="auto"/>
        <w:jc w:val="both"/>
        <w:rPr>
          <w:rFonts w:cs="B Roya"/>
          <w:sz w:val="28"/>
          <w:szCs w:val="28"/>
          <w:rtl/>
        </w:rPr>
      </w:pPr>
      <w:r w:rsidRPr="008279C1">
        <w:rPr>
          <w:rFonts w:cs="B Roya" w:hint="cs"/>
          <w:sz w:val="28"/>
          <w:szCs w:val="28"/>
          <w:rtl/>
        </w:rPr>
        <w:t xml:space="preserve">شهود را می‌توان </w:t>
      </w:r>
      <w:r w:rsidR="000A659C">
        <w:rPr>
          <w:rFonts w:cs="B Roya" w:hint="cs"/>
          <w:sz w:val="28"/>
          <w:szCs w:val="28"/>
          <w:rtl/>
        </w:rPr>
        <w:t>برحسب</w:t>
      </w:r>
      <w:r w:rsidRPr="008279C1">
        <w:rPr>
          <w:rFonts w:cs="B Roya" w:hint="cs"/>
          <w:sz w:val="28"/>
          <w:szCs w:val="28"/>
          <w:rtl/>
        </w:rPr>
        <w:t xml:space="preserve"> انواع قوا و مراتب وجودی انسان به حسی، خیالی، وهمی، عقلی، قلبی، روحی و... تقسیم کرد. شهودهای حسی، قلبی و روحی </w:t>
      </w:r>
      <w:r w:rsidR="000A659C">
        <w:rPr>
          <w:rFonts w:cs="B Roya"/>
          <w:sz w:val="28"/>
          <w:szCs w:val="28"/>
          <w:rtl/>
        </w:rPr>
        <w:t>غالباً</w:t>
      </w:r>
      <w:r w:rsidRPr="008279C1">
        <w:rPr>
          <w:rFonts w:cs="B Roya" w:hint="cs"/>
          <w:sz w:val="28"/>
          <w:szCs w:val="28"/>
          <w:rtl/>
        </w:rPr>
        <w:t xml:space="preserve"> شفاف هستند و شهودهای خیالی و عقلی، </w:t>
      </w:r>
      <w:r w:rsidR="000A659C">
        <w:rPr>
          <w:rFonts w:cs="B Roya" w:hint="cs"/>
          <w:sz w:val="28"/>
          <w:szCs w:val="28"/>
          <w:rtl/>
        </w:rPr>
        <w:t>به نسبت</w:t>
      </w:r>
      <w:r w:rsidRPr="008279C1">
        <w:rPr>
          <w:rFonts w:cs="B Roya" w:hint="cs"/>
          <w:sz w:val="28"/>
          <w:szCs w:val="28"/>
          <w:rtl/>
        </w:rPr>
        <w:t xml:space="preserve">، ضعیف و مبهم و شبیه دانستن هستند تا مشاهده کردن. متأسفانه شهودهای قلبی و روحی همگانی نیستند و </w:t>
      </w:r>
      <w:r w:rsidR="000A659C">
        <w:rPr>
          <w:rFonts w:cs="B Roya" w:hint="cs"/>
          <w:sz w:val="28"/>
          <w:szCs w:val="28"/>
          <w:rtl/>
        </w:rPr>
        <w:t>استفاده</w:t>
      </w:r>
      <w:r w:rsidRPr="008279C1">
        <w:rPr>
          <w:rFonts w:cs="B Roya" w:hint="cs"/>
          <w:sz w:val="28"/>
          <w:szCs w:val="28"/>
          <w:rtl/>
        </w:rPr>
        <w:t xml:space="preserve"> مستقیم از </w:t>
      </w:r>
      <w:r w:rsidR="000A659C">
        <w:rPr>
          <w:rFonts w:cs="B Roya" w:hint="cs"/>
          <w:sz w:val="28"/>
          <w:szCs w:val="28"/>
          <w:rtl/>
        </w:rPr>
        <w:t>آن‌ها</w:t>
      </w:r>
      <w:r w:rsidRPr="008279C1">
        <w:rPr>
          <w:rFonts w:cs="B Roya" w:hint="cs"/>
          <w:sz w:val="28"/>
          <w:szCs w:val="28"/>
          <w:rtl/>
        </w:rPr>
        <w:t xml:space="preserve"> در علوم دشوار است.</w:t>
      </w:r>
    </w:p>
    <w:p w14:paraId="2A1C291A" w14:textId="628BA23E" w:rsidR="008279C1" w:rsidRPr="008279C1" w:rsidRDefault="008279C1" w:rsidP="008279C1">
      <w:pPr>
        <w:spacing w:line="240" w:lineRule="auto"/>
        <w:jc w:val="both"/>
        <w:rPr>
          <w:rFonts w:cs="B Roya"/>
          <w:sz w:val="28"/>
          <w:szCs w:val="28"/>
          <w:rtl/>
        </w:rPr>
      </w:pPr>
      <w:r w:rsidRPr="008279C1">
        <w:rPr>
          <w:rFonts w:cs="B Roya" w:hint="cs"/>
          <w:sz w:val="28"/>
          <w:szCs w:val="28"/>
          <w:rtl/>
        </w:rPr>
        <w:lastRenderedPageBreak/>
        <w:t xml:space="preserve">آنچه علامه مصباح </w:t>
      </w:r>
      <w:r w:rsidRPr="008279C1">
        <w:rPr>
          <w:rFonts w:cs="B Roya" w:hint="eastAsia"/>
          <w:sz w:val="28"/>
          <w:szCs w:val="28"/>
          <w:rtl/>
        </w:rPr>
        <w:t>(ره)</w:t>
      </w:r>
      <w:r w:rsidRPr="008279C1">
        <w:rPr>
          <w:rFonts w:cs="B Roya" w:hint="cs"/>
          <w:sz w:val="28"/>
          <w:szCs w:val="28"/>
          <w:rtl/>
        </w:rPr>
        <w:t xml:space="preserve"> در بحث ارجاع بدیهیات اولیه به علوم حضوری مطرح می‌سازند، </w:t>
      </w:r>
      <w:r w:rsidR="000A659C">
        <w:rPr>
          <w:rFonts w:cs="B Roya"/>
          <w:sz w:val="28"/>
          <w:szCs w:val="28"/>
          <w:rtl/>
        </w:rPr>
        <w:t>دق</w:t>
      </w:r>
      <w:r w:rsidR="000A659C">
        <w:rPr>
          <w:rFonts w:cs="B Roya" w:hint="cs"/>
          <w:sz w:val="28"/>
          <w:szCs w:val="28"/>
          <w:rtl/>
        </w:rPr>
        <w:t>ی</w:t>
      </w:r>
      <w:r w:rsidR="000A659C">
        <w:rPr>
          <w:rFonts w:cs="B Roya" w:hint="eastAsia"/>
          <w:sz w:val="28"/>
          <w:szCs w:val="28"/>
          <w:rtl/>
        </w:rPr>
        <w:t>قاً</w:t>
      </w:r>
      <w:r w:rsidRPr="008279C1">
        <w:rPr>
          <w:rFonts w:cs="B Roya" w:hint="cs"/>
          <w:sz w:val="28"/>
          <w:szCs w:val="28"/>
          <w:rtl/>
        </w:rPr>
        <w:t xml:space="preserve"> شهود عقلی به‌اصطلاح ماست. ایشان وقتی از شهود </w:t>
      </w:r>
      <w:r w:rsidR="000A659C">
        <w:rPr>
          <w:rFonts w:cs="B Roya" w:hint="cs"/>
          <w:sz w:val="28"/>
          <w:szCs w:val="28"/>
          <w:rtl/>
        </w:rPr>
        <w:t>درون ذهنی</w:t>
      </w:r>
      <w:r w:rsidRPr="008279C1">
        <w:rPr>
          <w:rFonts w:cs="B Roya" w:hint="cs"/>
          <w:sz w:val="28"/>
          <w:szCs w:val="28"/>
          <w:rtl/>
        </w:rPr>
        <w:t xml:space="preserve"> مفاهیم سخن می‌گویند، مفاهیم را «بما </w:t>
      </w:r>
      <w:r w:rsidR="000A659C">
        <w:rPr>
          <w:rFonts w:cs="B Roya" w:hint="cs"/>
          <w:sz w:val="28"/>
          <w:szCs w:val="28"/>
          <w:rtl/>
        </w:rPr>
        <w:t>آن‌ها</w:t>
      </w:r>
      <w:r w:rsidRPr="008279C1">
        <w:rPr>
          <w:rFonts w:cs="B Roya" w:hint="cs"/>
          <w:sz w:val="28"/>
          <w:szCs w:val="28"/>
          <w:rtl/>
        </w:rPr>
        <w:t xml:space="preserve"> حاکٍ» لحاظ می‌کنند، یعنی به حیثیت حکایت مفاهیم نیز نظر دارند. بنابراین شهود </w:t>
      </w:r>
      <w:r w:rsidR="000A659C">
        <w:rPr>
          <w:rFonts w:cs="B Roya" w:hint="cs"/>
          <w:sz w:val="28"/>
          <w:szCs w:val="28"/>
          <w:rtl/>
        </w:rPr>
        <w:t>موردنظر</w:t>
      </w:r>
      <w:r w:rsidRPr="008279C1">
        <w:rPr>
          <w:rFonts w:cs="B Roya" w:hint="cs"/>
          <w:sz w:val="28"/>
          <w:szCs w:val="28"/>
          <w:rtl/>
        </w:rPr>
        <w:t xml:space="preserve"> ایشان یک نوع فعالیت عقلانی در دل علم حضوری است نه یک نوع علم حضوری به صور ذهنی.</w:t>
      </w:r>
    </w:p>
    <w:p w14:paraId="15619E38" w14:textId="391E133B" w:rsidR="008279C1" w:rsidRPr="008279C1" w:rsidRDefault="008279C1" w:rsidP="008279C1">
      <w:pPr>
        <w:spacing w:line="240" w:lineRule="auto"/>
        <w:jc w:val="both"/>
        <w:rPr>
          <w:rFonts w:cs="B Roya"/>
          <w:sz w:val="28"/>
          <w:szCs w:val="28"/>
          <w:rtl/>
        </w:rPr>
      </w:pPr>
      <w:r w:rsidRPr="008279C1">
        <w:rPr>
          <w:rFonts w:cs="B Roya" w:hint="cs"/>
          <w:sz w:val="28"/>
          <w:szCs w:val="28"/>
          <w:rtl/>
        </w:rPr>
        <w:t xml:space="preserve">توجه به شهود </w:t>
      </w:r>
      <w:r w:rsidR="000A659C">
        <w:rPr>
          <w:rFonts w:cs="B Roya" w:hint="cs"/>
          <w:sz w:val="28"/>
          <w:szCs w:val="28"/>
          <w:rtl/>
        </w:rPr>
        <w:t>به‌عنوان</w:t>
      </w:r>
      <w:r w:rsidRPr="008279C1">
        <w:rPr>
          <w:rFonts w:cs="B Roya" w:hint="cs"/>
          <w:sz w:val="28"/>
          <w:szCs w:val="28"/>
          <w:rtl/>
        </w:rPr>
        <w:t xml:space="preserve"> روشی مطمئن برای درک واقع، نقشی بی‌بدیل در فرایند </w:t>
      </w:r>
      <w:r w:rsidRPr="008279C1">
        <w:rPr>
          <w:rFonts w:cs="B Roya" w:hint="cs"/>
          <w:b/>
          <w:bCs/>
          <w:sz w:val="28"/>
          <w:szCs w:val="28"/>
          <w:rtl/>
        </w:rPr>
        <w:t>نقادی و اصلاح مبانی</w:t>
      </w:r>
      <w:r w:rsidRPr="008279C1">
        <w:rPr>
          <w:rFonts w:cs="B Roya" w:hint="cs"/>
          <w:sz w:val="28"/>
          <w:szCs w:val="28"/>
          <w:rtl/>
        </w:rPr>
        <w:t xml:space="preserve"> معرفت‌شناسانه، هستی‌شناسانه، روش‌شناسانه و غایت‌شناسانة علوم انسانی موجود برای تولید علوم انسانی اسلامی دارد:</w:t>
      </w:r>
    </w:p>
    <w:p w14:paraId="5CFF80AA" w14:textId="3D214304" w:rsidR="008279C1" w:rsidRPr="008279C1" w:rsidRDefault="008279C1" w:rsidP="008279C1">
      <w:pPr>
        <w:numPr>
          <w:ilvl w:val="0"/>
          <w:numId w:val="1"/>
        </w:numPr>
        <w:spacing w:line="240" w:lineRule="auto"/>
        <w:jc w:val="both"/>
        <w:rPr>
          <w:rFonts w:cs="B Roya"/>
          <w:sz w:val="28"/>
          <w:szCs w:val="28"/>
        </w:rPr>
      </w:pPr>
      <w:r w:rsidRPr="008279C1">
        <w:rPr>
          <w:rFonts w:cs="B Roya" w:hint="cs"/>
          <w:sz w:val="28"/>
          <w:szCs w:val="28"/>
          <w:rtl/>
        </w:rPr>
        <w:t xml:space="preserve">یکی از مبانی </w:t>
      </w:r>
      <w:r w:rsidRPr="008279C1">
        <w:rPr>
          <w:rFonts w:cs="B Roya" w:hint="cs"/>
          <w:b/>
          <w:bCs/>
          <w:sz w:val="28"/>
          <w:szCs w:val="28"/>
          <w:rtl/>
        </w:rPr>
        <w:t>معرفت‌شناختیِ</w:t>
      </w:r>
      <w:r w:rsidRPr="008279C1">
        <w:rPr>
          <w:rFonts w:cs="B Roya" w:hint="cs"/>
          <w:sz w:val="28"/>
          <w:szCs w:val="28"/>
          <w:rtl/>
        </w:rPr>
        <w:t xml:space="preserve"> علوم اسلامی، امکان دست‌یابی به واقعیت و بطلان شکاکیت، نسبیت‌گرایی و ایدئالیسم کانتی و هگلی است؛</w:t>
      </w:r>
    </w:p>
    <w:p w14:paraId="50F7EE0C" w14:textId="4226BD4F" w:rsidR="008279C1" w:rsidRPr="008279C1" w:rsidRDefault="008279C1" w:rsidP="008279C1">
      <w:pPr>
        <w:numPr>
          <w:ilvl w:val="0"/>
          <w:numId w:val="1"/>
        </w:numPr>
        <w:spacing w:line="240" w:lineRule="auto"/>
        <w:jc w:val="both"/>
        <w:rPr>
          <w:rFonts w:cs="B Roya"/>
          <w:sz w:val="28"/>
          <w:szCs w:val="28"/>
          <w:rtl/>
        </w:rPr>
      </w:pPr>
      <w:r w:rsidRPr="008279C1">
        <w:rPr>
          <w:rFonts w:cs="B Roya" w:hint="cs"/>
          <w:sz w:val="28"/>
          <w:szCs w:val="28"/>
          <w:rtl/>
        </w:rPr>
        <w:t xml:space="preserve">یکی از مبانی </w:t>
      </w:r>
      <w:r w:rsidRPr="008279C1">
        <w:rPr>
          <w:rFonts w:cs="B Roya" w:hint="cs"/>
          <w:b/>
          <w:bCs/>
          <w:sz w:val="28"/>
          <w:szCs w:val="28"/>
          <w:rtl/>
        </w:rPr>
        <w:t>معرفت‌شناسانه</w:t>
      </w:r>
      <w:r w:rsidRPr="008279C1">
        <w:rPr>
          <w:rFonts w:cs="B Roya" w:hint="cs"/>
          <w:sz w:val="28"/>
          <w:szCs w:val="28"/>
          <w:rtl/>
        </w:rPr>
        <w:t xml:space="preserve"> و </w:t>
      </w:r>
      <w:r w:rsidR="000A659C">
        <w:rPr>
          <w:rFonts w:cs="B Roya" w:hint="cs"/>
          <w:sz w:val="28"/>
          <w:szCs w:val="28"/>
          <w:rtl/>
        </w:rPr>
        <w:t>تا حدودی</w:t>
      </w:r>
      <w:r w:rsidRPr="008279C1">
        <w:rPr>
          <w:rFonts w:cs="B Roya" w:hint="cs"/>
          <w:sz w:val="28"/>
          <w:szCs w:val="28"/>
          <w:rtl/>
        </w:rPr>
        <w:t xml:space="preserve"> </w:t>
      </w:r>
      <w:r w:rsidRPr="008279C1">
        <w:rPr>
          <w:rFonts w:cs="B Roya" w:hint="cs"/>
          <w:b/>
          <w:bCs/>
          <w:sz w:val="28"/>
          <w:szCs w:val="28"/>
          <w:rtl/>
        </w:rPr>
        <w:t>هستی‌شناسانة</w:t>
      </w:r>
      <w:r w:rsidRPr="008279C1">
        <w:rPr>
          <w:rFonts w:cs="B Roya" w:hint="cs"/>
          <w:sz w:val="28"/>
          <w:szCs w:val="28"/>
          <w:rtl/>
        </w:rPr>
        <w:t xml:space="preserve"> علوم انسانی اسلامی، امکان شناخت صحیح و مطابق با واقع انسان </w:t>
      </w:r>
      <w:r w:rsidR="000A659C">
        <w:rPr>
          <w:rFonts w:cs="B Roya" w:hint="cs"/>
          <w:sz w:val="28"/>
          <w:szCs w:val="28"/>
          <w:rtl/>
        </w:rPr>
        <w:t>به‌عنوان</w:t>
      </w:r>
      <w:r w:rsidRPr="008279C1">
        <w:rPr>
          <w:rFonts w:cs="B Roya" w:hint="cs"/>
          <w:sz w:val="28"/>
          <w:szCs w:val="28"/>
          <w:rtl/>
        </w:rPr>
        <w:t xml:space="preserve"> ابژه (نه </w:t>
      </w:r>
      <w:r w:rsidR="000A659C">
        <w:rPr>
          <w:rFonts w:cs="B Roya"/>
          <w:sz w:val="28"/>
          <w:szCs w:val="28"/>
          <w:rtl/>
        </w:rPr>
        <w:t>صرفاً</w:t>
      </w:r>
      <w:r w:rsidRPr="008279C1">
        <w:rPr>
          <w:rFonts w:cs="B Roya" w:hint="cs"/>
          <w:sz w:val="28"/>
          <w:szCs w:val="28"/>
          <w:rtl/>
        </w:rPr>
        <w:t xml:space="preserve"> </w:t>
      </w:r>
      <w:r w:rsidR="000A659C">
        <w:rPr>
          <w:rFonts w:cs="B Roya" w:hint="cs"/>
          <w:sz w:val="28"/>
          <w:szCs w:val="28"/>
          <w:rtl/>
        </w:rPr>
        <w:t>به‌عنوان</w:t>
      </w:r>
      <w:r w:rsidRPr="008279C1">
        <w:rPr>
          <w:rFonts w:cs="B Roya" w:hint="cs"/>
          <w:sz w:val="28"/>
          <w:szCs w:val="28"/>
          <w:rtl/>
        </w:rPr>
        <w:t xml:space="preserve"> سوژه) است و به اعتقاد ما این شناخت، از راه </w:t>
      </w:r>
      <w:r w:rsidR="000A659C">
        <w:rPr>
          <w:rFonts w:cs="B Roya"/>
          <w:sz w:val="28"/>
          <w:szCs w:val="28"/>
          <w:rtl/>
        </w:rPr>
        <w:t>شهودها</w:t>
      </w:r>
      <w:r w:rsidR="000A659C">
        <w:rPr>
          <w:rFonts w:cs="B Roya" w:hint="cs"/>
          <w:sz w:val="28"/>
          <w:szCs w:val="28"/>
          <w:rtl/>
        </w:rPr>
        <w:t>ی</w:t>
      </w:r>
      <w:r w:rsidRPr="008279C1">
        <w:rPr>
          <w:rFonts w:cs="B Roya" w:hint="cs"/>
          <w:sz w:val="28"/>
          <w:szCs w:val="28"/>
          <w:rtl/>
        </w:rPr>
        <w:t xml:space="preserve"> خیالی، عقلی، قلبی و روحی میسر می‌شود؛</w:t>
      </w:r>
    </w:p>
    <w:p w14:paraId="5274189A" w14:textId="2A5DB29C" w:rsidR="008279C1" w:rsidRPr="008279C1" w:rsidRDefault="008279C1" w:rsidP="008279C1">
      <w:pPr>
        <w:numPr>
          <w:ilvl w:val="0"/>
          <w:numId w:val="1"/>
        </w:numPr>
        <w:spacing w:line="240" w:lineRule="auto"/>
        <w:jc w:val="both"/>
        <w:rPr>
          <w:rFonts w:cs="B Roya"/>
          <w:sz w:val="28"/>
          <w:szCs w:val="28"/>
          <w:rtl/>
        </w:rPr>
      </w:pPr>
      <w:r w:rsidRPr="008279C1">
        <w:rPr>
          <w:rFonts w:cs="B Roya" w:hint="cs"/>
          <w:sz w:val="28"/>
          <w:szCs w:val="28"/>
          <w:rtl/>
        </w:rPr>
        <w:t xml:space="preserve">یکی از مبانی </w:t>
      </w:r>
      <w:r w:rsidRPr="008279C1">
        <w:rPr>
          <w:rFonts w:cs="B Roya" w:hint="cs"/>
          <w:b/>
          <w:bCs/>
          <w:sz w:val="28"/>
          <w:szCs w:val="28"/>
          <w:rtl/>
        </w:rPr>
        <w:t>روش‌شناسانة</w:t>
      </w:r>
      <w:r w:rsidRPr="008279C1">
        <w:rPr>
          <w:rFonts w:cs="B Roya" w:hint="cs"/>
          <w:sz w:val="28"/>
          <w:szCs w:val="28"/>
          <w:rtl/>
        </w:rPr>
        <w:t xml:space="preserve"> علوم انسانی اسلامی مانند روان‌شناسی اسلامی، امکان شناخت نفس و حالات نفسانی و... از طریق شهود است. </w:t>
      </w:r>
      <w:r w:rsidR="000A659C">
        <w:rPr>
          <w:rFonts w:cs="B Roya" w:hint="cs"/>
          <w:sz w:val="28"/>
          <w:szCs w:val="28"/>
          <w:rtl/>
        </w:rPr>
        <w:t>به‌عبارت‌دیگر</w:t>
      </w:r>
      <w:r w:rsidRPr="008279C1">
        <w:rPr>
          <w:rFonts w:cs="B Roya" w:hint="cs"/>
          <w:sz w:val="28"/>
          <w:szCs w:val="28"/>
          <w:rtl/>
        </w:rPr>
        <w:t xml:space="preserve">، یکی از مبانی روش‌شناختی علوم انسانی اسلامی این است که روش صحیح شناخت انسان در علوم انسانی، ترکیبی از تجربه و شهود است نه </w:t>
      </w:r>
      <w:r w:rsidR="000A659C">
        <w:rPr>
          <w:rFonts w:cs="B Roya"/>
          <w:sz w:val="28"/>
          <w:szCs w:val="28"/>
          <w:rtl/>
        </w:rPr>
        <w:t>صرفاً</w:t>
      </w:r>
      <w:r w:rsidRPr="008279C1">
        <w:rPr>
          <w:rFonts w:cs="B Roya" w:hint="cs"/>
          <w:sz w:val="28"/>
          <w:szCs w:val="28"/>
          <w:rtl/>
        </w:rPr>
        <w:t xml:space="preserve"> تجربه.</w:t>
      </w:r>
    </w:p>
    <w:p w14:paraId="692F59FE" w14:textId="110F1EBF" w:rsidR="00D23074" w:rsidRDefault="008279C1" w:rsidP="008279C1">
      <w:pPr>
        <w:spacing w:line="240" w:lineRule="auto"/>
        <w:jc w:val="both"/>
        <w:rPr>
          <w:rFonts w:cs="B Roya"/>
          <w:sz w:val="28"/>
          <w:szCs w:val="28"/>
          <w:rtl/>
        </w:rPr>
      </w:pPr>
      <w:r w:rsidRPr="008279C1">
        <w:rPr>
          <w:rFonts w:cs="B Roya" w:hint="cs"/>
          <w:sz w:val="28"/>
          <w:szCs w:val="28"/>
          <w:rtl/>
        </w:rPr>
        <w:t xml:space="preserve">یکی از مبانی </w:t>
      </w:r>
      <w:r w:rsidRPr="008279C1">
        <w:rPr>
          <w:rFonts w:cs="B Roya" w:hint="cs"/>
          <w:b/>
          <w:bCs/>
          <w:sz w:val="28"/>
          <w:szCs w:val="28"/>
          <w:rtl/>
        </w:rPr>
        <w:t>غایت‌شناختیِ</w:t>
      </w:r>
      <w:r w:rsidRPr="008279C1">
        <w:rPr>
          <w:rFonts w:cs="B Roya" w:hint="cs"/>
          <w:sz w:val="28"/>
          <w:szCs w:val="28"/>
          <w:rtl/>
        </w:rPr>
        <w:t xml:space="preserve"> علوم انسانی اسلامی درک واقع برای کسب سعادت فردی و اجتماعی است و شهود در نیل به درک واقع کامل مهم است؛ در مقابل، غایتِ همه یا بسیاری از علوم انسانیِ </w:t>
      </w:r>
      <w:r w:rsidR="000A659C">
        <w:rPr>
          <w:rFonts w:cs="B Roya" w:hint="cs"/>
          <w:sz w:val="28"/>
          <w:szCs w:val="28"/>
          <w:rtl/>
        </w:rPr>
        <w:t>عمل‌گرایان</w:t>
      </w:r>
      <w:r>
        <w:rPr>
          <w:rFonts w:cs="B Roya" w:hint="cs"/>
          <w:sz w:val="28"/>
          <w:szCs w:val="28"/>
          <w:rtl/>
        </w:rPr>
        <w:t xml:space="preserve"> غربی چنین نیست</w:t>
      </w:r>
      <w:r w:rsidR="00D23074" w:rsidRPr="00CA495D">
        <w:rPr>
          <w:rFonts w:cs="B Roya" w:hint="cs"/>
          <w:sz w:val="28"/>
          <w:szCs w:val="28"/>
          <w:rtl/>
        </w:rPr>
        <w:t>.</w:t>
      </w:r>
    </w:p>
    <w:p w14:paraId="589C585D" w14:textId="0B50976C" w:rsidR="00C2582D" w:rsidRPr="00CA495D" w:rsidRDefault="00D15BB5" w:rsidP="008279C1">
      <w:pPr>
        <w:spacing w:line="240" w:lineRule="auto"/>
        <w:jc w:val="both"/>
        <w:rPr>
          <w:rFonts w:cs="B Roya"/>
          <w:sz w:val="28"/>
          <w:szCs w:val="28"/>
          <w:rtl/>
        </w:rPr>
      </w:pPr>
      <w:r>
        <w:rPr>
          <w:rFonts w:cs="B Roya"/>
          <w:b/>
          <w:bCs/>
          <w:sz w:val="28"/>
          <w:szCs w:val="28"/>
          <w:rtl/>
        </w:rPr>
        <w:t>نت</w:t>
      </w:r>
      <w:r>
        <w:rPr>
          <w:rFonts w:cs="B Roya" w:hint="cs"/>
          <w:b/>
          <w:bCs/>
          <w:sz w:val="28"/>
          <w:szCs w:val="28"/>
          <w:rtl/>
        </w:rPr>
        <w:t>ی</w:t>
      </w:r>
      <w:r>
        <w:rPr>
          <w:rFonts w:cs="B Roya" w:hint="eastAsia"/>
          <w:b/>
          <w:bCs/>
          <w:sz w:val="28"/>
          <w:szCs w:val="28"/>
          <w:rtl/>
        </w:rPr>
        <w:t>جه‌گ</w:t>
      </w:r>
      <w:r>
        <w:rPr>
          <w:rFonts w:cs="B Roya" w:hint="cs"/>
          <w:b/>
          <w:bCs/>
          <w:sz w:val="28"/>
          <w:szCs w:val="28"/>
          <w:rtl/>
        </w:rPr>
        <w:t>ی</w:t>
      </w:r>
      <w:r>
        <w:rPr>
          <w:rFonts w:cs="B Roya" w:hint="eastAsia"/>
          <w:b/>
          <w:bCs/>
          <w:sz w:val="28"/>
          <w:szCs w:val="28"/>
          <w:rtl/>
        </w:rPr>
        <w:t>ر</w:t>
      </w:r>
      <w:r>
        <w:rPr>
          <w:rFonts w:cs="B Roya" w:hint="cs"/>
          <w:b/>
          <w:bCs/>
          <w:sz w:val="28"/>
          <w:szCs w:val="28"/>
          <w:rtl/>
        </w:rPr>
        <w:t>ی</w:t>
      </w:r>
      <w:r w:rsidR="00C2582D">
        <w:rPr>
          <w:rFonts w:cs="B Roya" w:hint="cs"/>
          <w:sz w:val="28"/>
          <w:szCs w:val="28"/>
          <w:rtl/>
        </w:rPr>
        <w:t xml:space="preserve">: </w:t>
      </w:r>
      <w:r w:rsidR="008279C1" w:rsidRPr="008279C1">
        <w:rPr>
          <w:rFonts w:cs="B Roya" w:hint="cs"/>
          <w:sz w:val="28"/>
          <w:szCs w:val="28"/>
          <w:rtl/>
        </w:rPr>
        <w:t xml:space="preserve">از آموزه‌های علامه مصباح </w:t>
      </w:r>
      <w:r w:rsidR="008279C1" w:rsidRPr="008279C1">
        <w:rPr>
          <w:rFonts w:cs="B Roya" w:hint="eastAsia"/>
          <w:sz w:val="28"/>
          <w:szCs w:val="28"/>
          <w:rtl/>
        </w:rPr>
        <w:t>(ره)</w:t>
      </w:r>
      <w:r w:rsidR="008279C1" w:rsidRPr="008279C1">
        <w:rPr>
          <w:rFonts w:cs="B Roya" w:hint="cs"/>
          <w:sz w:val="28"/>
          <w:szCs w:val="28"/>
          <w:rtl/>
        </w:rPr>
        <w:t xml:space="preserve"> در علوم مختلف </w:t>
      </w:r>
      <w:r w:rsidR="000A659C">
        <w:rPr>
          <w:rFonts w:cs="B Roya" w:hint="cs"/>
          <w:sz w:val="28"/>
          <w:szCs w:val="28"/>
          <w:rtl/>
        </w:rPr>
        <w:t>ازجمله</w:t>
      </w:r>
      <w:r w:rsidR="008279C1" w:rsidRPr="008279C1">
        <w:rPr>
          <w:rFonts w:cs="B Roya" w:hint="cs"/>
          <w:sz w:val="28"/>
          <w:szCs w:val="28"/>
          <w:rtl/>
        </w:rPr>
        <w:t xml:space="preserve"> معرفت‌شناسی، </w:t>
      </w:r>
      <w:r w:rsidR="008279C1" w:rsidRPr="008279C1">
        <w:rPr>
          <w:rFonts w:cs="B Roya" w:hint="eastAsia"/>
          <w:sz w:val="28"/>
          <w:szCs w:val="28"/>
          <w:rtl/>
        </w:rPr>
        <w:t>فلسفه</w:t>
      </w:r>
      <w:r w:rsidR="008279C1" w:rsidRPr="008279C1">
        <w:rPr>
          <w:rFonts w:cs="B Roya" w:hint="cs"/>
          <w:sz w:val="28"/>
          <w:szCs w:val="28"/>
          <w:rtl/>
        </w:rPr>
        <w:t xml:space="preserve"> و اخلاق، و همچنین از رویکرد ایشان نسبت به علوم حضوری و شهودی می‌توان برای نقادی و اصلاح مبانی علوم انسانی </w:t>
      </w:r>
      <w:r w:rsidR="000A659C">
        <w:rPr>
          <w:rFonts w:cs="B Roya" w:hint="cs"/>
          <w:sz w:val="28"/>
          <w:szCs w:val="28"/>
          <w:rtl/>
        </w:rPr>
        <w:t>به‌منظور</w:t>
      </w:r>
      <w:r w:rsidR="008279C1" w:rsidRPr="008279C1">
        <w:rPr>
          <w:rFonts w:cs="B Roya" w:hint="cs"/>
          <w:sz w:val="28"/>
          <w:szCs w:val="28"/>
          <w:rtl/>
        </w:rPr>
        <w:t xml:space="preserve"> تولید علوم انسانی اسلامی بهره برد</w:t>
      </w:r>
      <w:r w:rsidR="00C2582D">
        <w:rPr>
          <w:rFonts w:cs="B Roya" w:hint="cs"/>
          <w:sz w:val="28"/>
          <w:szCs w:val="28"/>
          <w:rtl/>
        </w:rPr>
        <w:t>.</w:t>
      </w:r>
    </w:p>
    <w:p w14:paraId="00F6C1A1" w14:textId="1EF0F371" w:rsidR="00D23074" w:rsidRPr="008279C1" w:rsidRDefault="00D23074" w:rsidP="008279C1">
      <w:pPr>
        <w:spacing w:line="240" w:lineRule="auto"/>
        <w:jc w:val="both"/>
        <w:rPr>
          <w:rFonts w:cs="B Roya"/>
          <w:b/>
          <w:bCs/>
          <w:sz w:val="28"/>
          <w:szCs w:val="28"/>
          <w:rtl/>
        </w:rPr>
      </w:pPr>
      <w:r w:rsidRPr="00CA495D">
        <w:rPr>
          <w:rFonts w:cs="B Roya" w:hint="cs"/>
          <w:b/>
          <w:bCs/>
          <w:sz w:val="28"/>
          <w:szCs w:val="28"/>
          <w:rtl/>
        </w:rPr>
        <w:t>واژگان کلیدی:</w:t>
      </w:r>
      <w:r w:rsidRPr="00CA495D">
        <w:rPr>
          <w:rFonts w:cs="B Roya" w:hint="cs"/>
          <w:sz w:val="28"/>
          <w:szCs w:val="28"/>
          <w:rtl/>
        </w:rPr>
        <w:t xml:space="preserve"> </w:t>
      </w:r>
      <w:r w:rsidR="008279C1" w:rsidRPr="008279C1">
        <w:rPr>
          <w:rFonts w:cs="B Roya" w:hint="cs"/>
          <w:sz w:val="28"/>
          <w:szCs w:val="28"/>
          <w:rtl/>
        </w:rPr>
        <w:t>شهود، شهود عقلی، مبانی علوم انسانی، اسلامی‌سازی</w:t>
      </w:r>
    </w:p>
    <w:sectPr w:rsidR="00D23074" w:rsidRPr="008279C1" w:rsidSect="00B62680">
      <w:pgSz w:w="11906" w:h="16838"/>
      <w:pgMar w:top="1440" w:right="1440" w:bottom="1440" w:left="144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E5B3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DD6BB" w14:textId="77777777" w:rsidR="00C456AE" w:rsidRDefault="00C456AE" w:rsidP="00874DF6">
      <w:pPr>
        <w:spacing w:after="0" w:line="240" w:lineRule="auto"/>
      </w:pPr>
      <w:r>
        <w:separator/>
      </w:r>
    </w:p>
  </w:endnote>
  <w:endnote w:type="continuationSeparator" w:id="0">
    <w:p w14:paraId="6BD2BC75" w14:textId="77777777" w:rsidR="00C456AE" w:rsidRDefault="00C456AE" w:rsidP="0087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Roy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DAC12" w14:textId="77777777" w:rsidR="00C456AE" w:rsidRDefault="00C456AE" w:rsidP="00874DF6">
      <w:pPr>
        <w:spacing w:after="0" w:line="240" w:lineRule="auto"/>
      </w:pPr>
      <w:r>
        <w:separator/>
      </w:r>
    </w:p>
  </w:footnote>
  <w:footnote w:type="continuationSeparator" w:id="0">
    <w:p w14:paraId="58B6100B" w14:textId="77777777" w:rsidR="00C456AE" w:rsidRDefault="00C456AE" w:rsidP="00874DF6">
      <w:pPr>
        <w:spacing w:after="0" w:line="240" w:lineRule="auto"/>
      </w:pPr>
      <w:r>
        <w:continuationSeparator/>
      </w:r>
    </w:p>
  </w:footnote>
  <w:footnote w:id="1">
    <w:p w14:paraId="46EA3EC6" w14:textId="5672929E" w:rsidR="00874DF6" w:rsidRPr="00874DF6" w:rsidRDefault="00874DF6" w:rsidP="008279C1">
      <w:pPr>
        <w:pStyle w:val="FootnoteText"/>
        <w:rPr>
          <w:rFonts w:cs="B Roya"/>
        </w:rPr>
      </w:pPr>
      <w:r w:rsidRPr="00874DF6">
        <w:rPr>
          <w:rStyle w:val="FootnoteReference"/>
          <w:rFonts w:cs="B Roya"/>
        </w:rPr>
        <w:footnoteRef/>
      </w:r>
      <w:r w:rsidRPr="00874DF6">
        <w:rPr>
          <w:rFonts w:cs="B Roya"/>
          <w:rtl/>
        </w:rPr>
        <w:t xml:space="preserve"> </w:t>
      </w:r>
      <w:r w:rsidR="00C2582D">
        <w:rPr>
          <w:rFonts w:cs="B Roya" w:hint="cs"/>
          <w:rtl/>
        </w:rPr>
        <w:t>دانشیار</w:t>
      </w:r>
      <w:r w:rsidRPr="00874DF6">
        <w:rPr>
          <w:rFonts w:cs="B Roya" w:hint="cs"/>
          <w:rtl/>
        </w:rPr>
        <w:t xml:space="preserve"> موسسه آموزشی و پژوهشی امام خمینی (ره)</w:t>
      </w:r>
      <w:r>
        <w:rPr>
          <w:rFonts w:cs="B Roya" w:hint="cs"/>
          <w:rtl/>
        </w:rPr>
        <w:t xml:space="preserve"> </w:t>
      </w:r>
      <w:r>
        <w:rPr>
          <w:rFonts w:cs="Times New Roman" w:hint="cs"/>
          <w:rtl/>
        </w:rPr>
        <w:t>[</w:t>
      </w:r>
      <w:r w:rsidRPr="00874DF6">
        <w:rPr>
          <w:rFonts w:cs="B Roya"/>
        </w:rPr>
        <w:t>https://asatid.iki.ac.ir/?prof=</w:t>
      </w:r>
      <w:r w:rsidR="008279C1">
        <w:rPr>
          <w:rFonts w:cs="B Roya"/>
        </w:rPr>
        <w:t>1378</w:t>
      </w:r>
      <w:r>
        <w:rPr>
          <w:rFonts w:cs="B Roya"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2CE3"/>
    <w:multiLevelType w:val="hybridMultilevel"/>
    <w:tmpl w:val="8EB68514"/>
    <w:lvl w:ilvl="0" w:tplc="484044F2">
      <w:start w:val="1"/>
      <w:numFmt w:val="decimal"/>
      <w:suff w:val="space"/>
      <w:lvlText w:val="%1."/>
      <w:lvlJc w:val="left"/>
      <w:pPr>
        <w:ind w:left="0"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XEL">
    <w15:presenceInfo w15:providerId="None" w15:userId="PIX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AA"/>
    <w:rsid w:val="0008769F"/>
    <w:rsid w:val="000A659C"/>
    <w:rsid w:val="000E06F1"/>
    <w:rsid w:val="0010363E"/>
    <w:rsid w:val="0017758C"/>
    <w:rsid w:val="00335346"/>
    <w:rsid w:val="004304C3"/>
    <w:rsid w:val="00537B27"/>
    <w:rsid w:val="005564CC"/>
    <w:rsid w:val="005931DC"/>
    <w:rsid w:val="005D6B94"/>
    <w:rsid w:val="006F39B5"/>
    <w:rsid w:val="007B3784"/>
    <w:rsid w:val="007E094B"/>
    <w:rsid w:val="008279C1"/>
    <w:rsid w:val="00874DF6"/>
    <w:rsid w:val="008758AA"/>
    <w:rsid w:val="00904705"/>
    <w:rsid w:val="00A837F8"/>
    <w:rsid w:val="00B23FAB"/>
    <w:rsid w:val="00B344B3"/>
    <w:rsid w:val="00B62680"/>
    <w:rsid w:val="00C2582D"/>
    <w:rsid w:val="00C456AE"/>
    <w:rsid w:val="00C861DD"/>
    <w:rsid w:val="00CA495D"/>
    <w:rsid w:val="00D15BB5"/>
    <w:rsid w:val="00D23074"/>
    <w:rsid w:val="00DC6251"/>
    <w:rsid w:val="00E9665A"/>
    <w:rsid w:val="00F21B5A"/>
    <w:rsid w:val="00FC305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 w:type="character" w:styleId="CommentReference">
    <w:name w:val="annotation reference"/>
    <w:basedOn w:val="DefaultParagraphFont"/>
    <w:uiPriority w:val="99"/>
    <w:semiHidden/>
    <w:unhideWhenUsed/>
    <w:rsid w:val="006F39B5"/>
    <w:rPr>
      <w:sz w:val="16"/>
      <w:szCs w:val="16"/>
    </w:rPr>
  </w:style>
  <w:style w:type="paragraph" w:styleId="CommentText">
    <w:name w:val="annotation text"/>
    <w:basedOn w:val="Normal"/>
    <w:link w:val="CommentTextChar"/>
    <w:uiPriority w:val="99"/>
    <w:semiHidden/>
    <w:unhideWhenUsed/>
    <w:rsid w:val="006F39B5"/>
    <w:pPr>
      <w:spacing w:line="240" w:lineRule="auto"/>
    </w:pPr>
    <w:rPr>
      <w:sz w:val="20"/>
      <w:szCs w:val="20"/>
    </w:rPr>
  </w:style>
  <w:style w:type="character" w:customStyle="1" w:styleId="CommentTextChar">
    <w:name w:val="Comment Text Char"/>
    <w:basedOn w:val="DefaultParagraphFont"/>
    <w:link w:val="CommentText"/>
    <w:uiPriority w:val="99"/>
    <w:semiHidden/>
    <w:rsid w:val="006F39B5"/>
    <w:rPr>
      <w:sz w:val="20"/>
      <w:szCs w:val="20"/>
    </w:rPr>
  </w:style>
  <w:style w:type="paragraph" w:styleId="CommentSubject">
    <w:name w:val="annotation subject"/>
    <w:basedOn w:val="CommentText"/>
    <w:next w:val="CommentText"/>
    <w:link w:val="CommentSubjectChar"/>
    <w:uiPriority w:val="99"/>
    <w:semiHidden/>
    <w:unhideWhenUsed/>
    <w:rsid w:val="006F39B5"/>
    <w:rPr>
      <w:b/>
      <w:bCs/>
    </w:rPr>
  </w:style>
  <w:style w:type="character" w:customStyle="1" w:styleId="CommentSubjectChar">
    <w:name w:val="Comment Subject Char"/>
    <w:basedOn w:val="CommentTextChar"/>
    <w:link w:val="CommentSubject"/>
    <w:uiPriority w:val="99"/>
    <w:semiHidden/>
    <w:rsid w:val="006F39B5"/>
    <w:rPr>
      <w:b/>
      <w:bCs/>
      <w:sz w:val="20"/>
      <w:szCs w:val="20"/>
    </w:rPr>
  </w:style>
  <w:style w:type="paragraph" w:styleId="BalloonText">
    <w:name w:val="Balloon Text"/>
    <w:basedOn w:val="Normal"/>
    <w:link w:val="BalloonTextChar"/>
    <w:uiPriority w:val="99"/>
    <w:semiHidden/>
    <w:unhideWhenUsed/>
    <w:rsid w:val="006F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9B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 w:type="character" w:styleId="CommentReference">
    <w:name w:val="annotation reference"/>
    <w:basedOn w:val="DefaultParagraphFont"/>
    <w:uiPriority w:val="99"/>
    <w:semiHidden/>
    <w:unhideWhenUsed/>
    <w:rsid w:val="006F39B5"/>
    <w:rPr>
      <w:sz w:val="16"/>
      <w:szCs w:val="16"/>
    </w:rPr>
  </w:style>
  <w:style w:type="paragraph" w:styleId="CommentText">
    <w:name w:val="annotation text"/>
    <w:basedOn w:val="Normal"/>
    <w:link w:val="CommentTextChar"/>
    <w:uiPriority w:val="99"/>
    <w:semiHidden/>
    <w:unhideWhenUsed/>
    <w:rsid w:val="006F39B5"/>
    <w:pPr>
      <w:spacing w:line="240" w:lineRule="auto"/>
    </w:pPr>
    <w:rPr>
      <w:sz w:val="20"/>
      <w:szCs w:val="20"/>
    </w:rPr>
  </w:style>
  <w:style w:type="character" w:customStyle="1" w:styleId="CommentTextChar">
    <w:name w:val="Comment Text Char"/>
    <w:basedOn w:val="DefaultParagraphFont"/>
    <w:link w:val="CommentText"/>
    <w:uiPriority w:val="99"/>
    <w:semiHidden/>
    <w:rsid w:val="006F39B5"/>
    <w:rPr>
      <w:sz w:val="20"/>
      <w:szCs w:val="20"/>
    </w:rPr>
  </w:style>
  <w:style w:type="paragraph" w:styleId="CommentSubject">
    <w:name w:val="annotation subject"/>
    <w:basedOn w:val="CommentText"/>
    <w:next w:val="CommentText"/>
    <w:link w:val="CommentSubjectChar"/>
    <w:uiPriority w:val="99"/>
    <w:semiHidden/>
    <w:unhideWhenUsed/>
    <w:rsid w:val="006F39B5"/>
    <w:rPr>
      <w:b/>
      <w:bCs/>
    </w:rPr>
  </w:style>
  <w:style w:type="character" w:customStyle="1" w:styleId="CommentSubjectChar">
    <w:name w:val="Comment Subject Char"/>
    <w:basedOn w:val="CommentTextChar"/>
    <w:link w:val="CommentSubject"/>
    <w:uiPriority w:val="99"/>
    <w:semiHidden/>
    <w:rsid w:val="006F39B5"/>
    <w:rPr>
      <w:b/>
      <w:bCs/>
      <w:sz w:val="20"/>
      <w:szCs w:val="20"/>
    </w:rPr>
  </w:style>
  <w:style w:type="paragraph" w:styleId="BalloonText">
    <w:name w:val="Balloon Text"/>
    <w:basedOn w:val="Normal"/>
    <w:link w:val="BalloonTextChar"/>
    <w:uiPriority w:val="99"/>
    <w:semiHidden/>
    <w:unhideWhenUsed/>
    <w:rsid w:val="006F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166A594-9721-4923-A64E-B293950F2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naderi</dc:creator>
  <cp:lastModifiedBy>E.N.</cp:lastModifiedBy>
  <cp:revision>3</cp:revision>
  <dcterms:created xsi:type="dcterms:W3CDTF">2021-12-12T23:27:00Z</dcterms:created>
  <dcterms:modified xsi:type="dcterms:W3CDTF">2021-12-12T23:45:00Z</dcterms:modified>
</cp:coreProperties>
</file>