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4AC" w:rsidRPr="00B414AC" w:rsidRDefault="00B414AC" w:rsidP="00B414AC">
      <w:pPr>
        <w:keepNext/>
        <w:keepLines/>
        <w:spacing w:after="0" w:line="240" w:lineRule="auto"/>
        <w:outlineLvl w:val="1"/>
        <w:rPr>
          <w:rFonts w:ascii="Cambria" w:eastAsia="Times New Roman" w:hAnsi="Cambria" w:cs="B Badr"/>
          <w:b/>
          <w:bCs/>
          <w:sz w:val="28"/>
          <w:szCs w:val="28"/>
          <w:lang w:bidi="ar-IQ"/>
        </w:rPr>
      </w:pPr>
      <w:r w:rsidRPr="00B414AC">
        <w:rPr>
          <w:rFonts w:ascii="Cambria" w:eastAsia="Times New Roman" w:hAnsi="Cambria" w:cs="B Badr"/>
          <w:b/>
          <w:bCs/>
          <w:sz w:val="28"/>
          <w:szCs w:val="28"/>
          <w:rtl/>
          <w:lang w:bidi="ar-IQ"/>
        </w:rPr>
        <w:t>المنبر التمهيدي الخامس للمؤتمر العالمي للعلوم الإنسانية الإسلامية في فكر العلامة مصباح اليزدي (رحمه الله)</w:t>
      </w:r>
    </w:p>
    <w:p w:rsidR="00B414AC" w:rsidRPr="00B414AC" w:rsidRDefault="00B414AC" w:rsidP="00B414AC">
      <w:pPr>
        <w:keepNext/>
        <w:keepLines/>
        <w:spacing w:after="0" w:line="240" w:lineRule="auto"/>
        <w:outlineLvl w:val="1"/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</w:pPr>
      <w:r w:rsidRPr="00B414AC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 xml:space="preserve">النظرية الفيزيائية </w:t>
      </w:r>
      <w:r w:rsidRPr="00B414AC">
        <w:rPr>
          <w:rFonts w:ascii="Cambria" w:eastAsia="Times New Roman" w:hAnsi="Cambria" w:cs="B Badr" w:hint="cs"/>
          <w:b/>
          <w:bCs/>
          <w:sz w:val="32"/>
          <w:szCs w:val="32"/>
          <w:u w:val="single"/>
          <w:rtl/>
          <w:lang w:bidi="ar-IQ"/>
        </w:rPr>
        <w:t>ك</w:t>
      </w:r>
      <w:r w:rsidRPr="00B414AC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>مانع</w:t>
      </w:r>
      <w:r w:rsidRPr="00B414AC">
        <w:rPr>
          <w:rFonts w:ascii="Cambria" w:eastAsia="Times New Roman" w:hAnsi="Cambria" w:cs="B Badr" w:hint="cs"/>
          <w:b/>
          <w:bCs/>
          <w:sz w:val="32"/>
          <w:szCs w:val="32"/>
          <w:u w:val="single"/>
          <w:rtl/>
          <w:lang w:bidi="ar-IQ"/>
        </w:rPr>
        <w:t xml:space="preserve"> </w:t>
      </w:r>
      <w:r w:rsidRPr="00B414AC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 xml:space="preserve">استراتيجي </w:t>
      </w:r>
      <w:r w:rsidRPr="00B414AC">
        <w:rPr>
          <w:rFonts w:ascii="Cambria" w:eastAsia="Times New Roman" w:hAnsi="Cambria" w:cs="B Badr" w:hint="eastAsia"/>
          <w:b/>
          <w:bCs/>
          <w:sz w:val="32"/>
          <w:szCs w:val="32"/>
          <w:u w:val="single"/>
          <w:rtl/>
          <w:lang w:bidi="ar-IQ"/>
        </w:rPr>
        <w:t>أمام</w:t>
      </w:r>
      <w:r w:rsidRPr="00B414AC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 xml:space="preserve"> العلوم الإنسانية الإسلامية في فكر العلامة مصباح اليزدي (رحمه الله)</w:t>
      </w:r>
    </w:p>
    <w:p w:rsidR="00B414AC" w:rsidRPr="00B414AC" w:rsidRDefault="00B414AC" w:rsidP="00B414AC">
      <w:pPr>
        <w:keepNext/>
        <w:keepLines/>
        <w:spacing w:after="0" w:line="240" w:lineRule="auto"/>
        <w:outlineLvl w:val="1"/>
        <w:rPr>
          <w:rFonts w:ascii="Cambria" w:eastAsia="Times New Roman" w:hAnsi="Cambria" w:cs="B Badr"/>
          <w:sz w:val="32"/>
          <w:szCs w:val="32"/>
          <w:u w:val="single"/>
          <w:lang w:bidi="ar-IQ"/>
        </w:rPr>
      </w:pPr>
      <w:hyperlink r:id="rId8" w:history="1">
        <w:r w:rsidRPr="00B414AC">
          <w:rPr>
            <w:rFonts w:ascii="Cambria" w:eastAsia="Times New Roman" w:hAnsi="Cambria" w:cs="B Badr"/>
            <w:sz w:val="32"/>
            <w:szCs w:val="32"/>
            <w:u w:val="single"/>
            <w:rtl/>
            <w:lang w:bidi="ar-IQ"/>
          </w:rPr>
          <w:t xml:space="preserve">محمود نمازي </w:t>
        </w:r>
        <w:r w:rsidRPr="00B414AC">
          <w:rPr>
            <w:rFonts w:ascii="Cambria" w:eastAsia="Times New Roman" w:hAnsi="Cambria" w:cs="B Badr" w:hint="cs"/>
            <w:sz w:val="32"/>
            <w:szCs w:val="32"/>
            <w:u w:val="single"/>
            <w:rtl/>
            <w:lang w:bidi="ar-IQ"/>
          </w:rPr>
          <w:t>أصفهاني</w:t>
        </w:r>
      </w:hyperlink>
      <w:r w:rsidRPr="00B414AC">
        <w:rPr>
          <w:rFonts w:ascii="Cambria" w:eastAsia="Times New Roman" w:hAnsi="Cambria" w:cs="B Badr"/>
          <w:sz w:val="32"/>
          <w:szCs w:val="32"/>
          <w:vertAlign w:val="superscript"/>
          <w:rtl/>
          <w:lang w:bidi="ar-IQ"/>
        </w:rPr>
        <w:footnoteReference w:id="1"/>
      </w:r>
    </w:p>
    <w:p w:rsidR="00B414AC" w:rsidRPr="00B414AC" w:rsidRDefault="00B414AC" w:rsidP="00B414AC">
      <w:pPr>
        <w:keepNext/>
        <w:keepLines/>
        <w:spacing w:after="0" w:line="240" w:lineRule="auto"/>
        <w:outlineLvl w:val="1"/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</w:pPr>
      <w:r w:rsidRPr="00B414AC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>ملخّص البحث</w:t>
      </w:r>
    </w:p>
    <w:p w:rsidR="00B414AC" w:rsidRPr="00B414AC" w:rsidRDefault="00B414AC" w:rsidP="00B414AC">
      <w:pPr>
        <w:spacing w:after="0" w:line="240" w:lineRule="auto"/>
        <w:jc w:val="both"/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</w:pPr>
      <w:r w:rsidRPr="00B414AC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t xml:space="preserve">مقدّمة: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النظرية الفيزيائية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بأشكالها الثلاثة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؛ السلوكية،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التشابهية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،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والوظائفية،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في رؤيتها إلى الوجود تُنكر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وراء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ماد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ة،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bookmarkStart w:id="0" w:name="_GoBack"/>
      <w:bookmarkEnd w:id="0"/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وفي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نظرية المعرفة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تنكر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المعارف غير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حسي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ة،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وفي نظرتها إلى الإنسان تنكر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نفس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مجرد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ة، وفيما يخصّ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نفس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تحيل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حالات وا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لإ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دراکات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نفس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ية إلى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فيزي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اء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كما أنّها تقلل من شأن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فيزي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اء وال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خواص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فيزي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ائية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. العلوم الإنسانية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التي تختص بمعرفة الإنسان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ووصف وتبيين وتفسير الظواهر الفردية والاجتماعية (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من حيث الجانب الإ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نساني،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وليس من حيث الجانب المادي والحياتي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)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والنظر في الأفعال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والانفعالات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الإنسانية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على أساس الأصول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فلسفي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،</w:t>
      </w:r>
      <w:r w:rsidRPr="00B414AC">
        <w:rPr>
          <w:rFonts w:ascii="Calibri" w:eastAsia="Calibri" w:hAnsi="Calibri" w:cs="B Badr"/>
          <w:sz w:val="32"/>
          <w:szCs w:val="32"/>
          <w:lang w:bidi="ar-IQ"/>
        </w:rPr>
        <w:t xml:space="preserve">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في فكر العلامة مصباح،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يمكن وصفها بالإسلامية متى ما كانت خصائصها الأساسية؛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أ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ي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أصولها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وأ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هداف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ها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وم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صادرها، ت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توافق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تنسجم مع الإس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لام.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إنّ قبول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النظرية الفيزيائية،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من حيث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موضوع،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ومن حيث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منهج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هدف،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سواء أكان في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علوم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وصفي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أم في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علوم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الأخلاقية، لا تنسجم مع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العلوم الإنسانية الإسلامية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وتشكل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مانع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اً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استراتيجي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اً لها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؛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وذلك لأنّها ت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نفي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موضوع 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لأ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ساسي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ت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نفي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منهج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صحيح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في الأ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سْلَم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تؤدي إلى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تعارض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مع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هدف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من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أسْلَمة العلوم الإنسانية.</w:t>
      </w:r>
    </w:p>
    <w:p w:rsidR="00B414AC" w:rsidRPr="00B414AC" w:rsidRDefault="00B414AC" w:rsidP="00B414AC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B414AC">
        <w:rPr>
          <w:rFonts w:ascii="Calibri" w:eastAsia="Calibri" w:hAnsi="Calibri" w:cs="B Badr" w:hint="cs"/>
          <w:b/>
          <w:bCs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t>هدف: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تبيين رأي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العلامة مصباح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اليزدي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في مكونات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النظرية الفيزيائية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للا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ستنباط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تبعاتها السلبية على الأركان الثلاثة وهي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(منهج،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هدف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وموضوع) العلوم الإنسانية الإسلامية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وفقاً 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ت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بني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اته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فكر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ية.</w:t>
      </w:r>
    </w:p>
    <w:p w:rsidR="00B414AC" w:rsidRPr="00B414AC" w:rsidRDefault="00B414AC" w:rsidP="00B414AC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B414AC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t>منهج البحث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: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نتعرّف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في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هذه المقالة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، وباتّباع منهج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وصفي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ـ و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تحليلي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وبأسلوب المقارنة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عقلي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فلسفي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ةـ على رأي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العلامة مصباح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في مكونات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النظرية الفيزيائية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استنباط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تبعاتها السلبية على الأركان الثلاثة وهي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(منهج،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هدف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وموضوع) العلوم الإنسانية الإسلامية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وفقاً 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ت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بني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اته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فكر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ية.</w:t>
      </w:r>
    </w:p>
    <w:p w:rsidR="00B414AC" w:rsidRPr="00B414AC" w:rsidRDefault="00B414AC" w:rsidP="00B414AC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B414AC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lastRenderedPageBreak/>
        <w:t>المعطيات: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1.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يقول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سماحة العلامة مصباح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اليزدي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ب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الفصل بين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مسائل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ميتافيزيقية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عقلي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مسائل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حس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تجر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يبية،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يعتقد أنّ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منهج دراسة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إحداهما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عقلي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والأخرى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تجريبي.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ومجال هذا الفصل من الخصائص الإنسانية للإنسان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وهو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عقل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.</w:t>
      </w:r>
    </w:p>
    <w:p w:rsidR="00B414AC" w:rsidRPr="00B414AC" w:rsidRDefault="00B414AC" w:rsidP="00B414AC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2.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يرى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سماحة العلامة مصباح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(مصباح،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1982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. ص. 17 </w:t>
      </w:r>
      <w:r w:rsidRPr="00B414AC">
        <w:rPr>
          <w:rFonts w:ascii="Times New Roman" w:eastAsia="Calibri" w:hAnsi="Times New Roman" w:cs="Times New Roman" w:hint="cs"/>
          <w:sz w:val="32"/>
          <w:szCs w:val="32"/>
          <w:rtl/>
          <w:lang w:bidi="ar-IQ"/>
        </w:rPr>
        <w:t>–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23)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أنّ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ظواهر وموجودات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هذا العالم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بغضّ النظر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عن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خصائصها،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ليست ناتجة عن مجرّد أ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فع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ل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‌و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ت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فا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ع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لات مادي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وموجود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آخر ليس من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سنخ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ماد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 له دور في إيجادها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إذاً العالم مرتبط ب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موجود ما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ورا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ء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مادّة ومجرد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، وهذا الترابط ليس من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سنخ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الوشائج المادية مع بعضها ولا هو مشابه لها بحيث يمكن دراستها واختبارها بال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منهج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التجريبي؛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وذلك لأنّه مثلما أنّ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موجود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مادي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أو الم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وجود غير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مادي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لا يمكن إدراكه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با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تجرب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حسي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ة،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كذلك الترابط بين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الظواهر غير المادية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تتعذر معرفته بأ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دوات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وسائل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مادي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ومَخبرية؛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لأنّ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فلسفة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تبحث في الأحجام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کلي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وجود بمنهج عقلي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علم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تجريبي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حسي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يتعامل مع الأسلوب والمنهج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تجريبي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لهذا السبب لا يمكنه الحكم في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جادلات وال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اختلافات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فلسفي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ة.</w:t>
      </w:r>
    </w:p>
    <w:p w:rsidR="00B414AC" w:rsidRPr="00B414AC" w:rsidRDefault="00B414AC" w:rsidP="00B414AC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3.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يعتقد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العلامة مصباح (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مصدر سابق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ص. 32 </w:t>
      </w:r>
      <w:r w:rsidRPr="00B414AC">
        <w:rPr>
          <w:rFonts w:ascii="Times New Roman" w:eastAsia="Calibri" w:hAnsi="Times New Roman" w:cs="Times New Roman" w:hint="cs"/>
          <w:sz w:val="32"/>
          <w:szCs w:val="32"/>
          <w:rtl/>
          <w:lang w:bidi="ar-IQ"/>
        </w:rPr>
        <w:t>–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38)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بما أنّ الم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وجودات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لا تنحصر بال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محسوسات ووجود الک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هرباء والأ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مواج الک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هرومغناطيسية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غيرها أمر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قطعي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في رأي العلوم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فإنّ مَن ي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نکر ما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ورا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ء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محسوسات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إمّا أن ينكر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جميع هذه الحقائق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وإمّا أن يقبل بأنّ طريق المعرفة لا ي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نحصر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بالإدراك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حس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ي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المباشر،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عقل قادر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على إدراك التأثير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حس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ي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للمؤثر غير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محسوس.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حد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لأدنى للتعويل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حصري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على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حس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والإدراكات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حسي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تقييد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مصادر المعرفة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بالإدراكات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حسي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 فقط، يستدعي السكوت عمّا يخصُّ الم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وجودات غير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المادية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يتا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فيزي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قية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وليس إنكارها.</w:t>
      </w:r>
    </w:p>
    <w:p w:rsidR="00B414AC" w:rsidRPr="00B414AC" w:rsidRDefault="00B414AC" w:rsidP="00B414AC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4.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القضايا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علمي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"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کلي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ّة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"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تختلف عن الإدراكات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باشرة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حسي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تجريبي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ة؛ وذلك لأنّنا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با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حواس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ندرك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فقط وجود ظاهر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تين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متمايز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تين،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أمّا بالنسبة إلى علاقاتها مع بعضها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الكيفية التي كانت عليها هذه العلاقة في الماضي وكيف ستكون في المستقبل،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في مكان آخر، فهذه الأمور ليست من اختصاص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وا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س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وإنّما هي من اختص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ص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عقل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الذي يدرك الح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قا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ئ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ق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ثابت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ة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بدون قي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د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زماني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ومکاني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ة.</w:t>
      </w:r>
    </w:p>
    <w:p w:rsidR="00B414AC" w:rsidRPr="00B414AC" w:rsidRDefault="00B414AC" w:rsidP="00B414AC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B414AC">
        <w:rPr>
          <w:rFonts w:ascii="Calibri" w:eastAsia="Calibri" w:hAnsi="Calibri" w:cs="B Badr" w:hint="cs"/>
          <w:b/>
          <w:bCs/>
          <w:sz w:val="32"/>
          <w:szCs w:val="32"/>
          <w:rtl/>
          <w:lang w:bidi="ar-IQ"/>
        </w:rPr>
        <w:t>الاستنتاج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:</w:t>
      </w:r>
    </w:p>
    <w:p w:rsidR="00B414AC" w:rsidRPr="00B414AC" w:rsidRDefault="00B414AC" w:rsidP="00B414AC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lastRenderedPageBreak/>
        <w:t>أوّلاً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.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الأصول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عقلي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ميتافيزيقية وغير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قابل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للإثبات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با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لحواس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تجرب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ة.</w:t>
      </w:r>
    </w:p>
    <w:p w:rsidR="00B414AC" w:rsidRPr="00B414AC" w:rsidRDefault="00B414AC" w:rsidP="00B414AC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ثانياً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.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جميع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علوم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تجريبية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بحاجة إلى أصول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ميتافيزيقية،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فهي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مع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ي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ر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معرف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صحيح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(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حقيق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)</w:t>
      </w:r>
      <w:r w:rsidRPr="00B414AC">
        <w:rPr>
          <w:rFonts w:ascii="Calibri" w:eastAsia="Calibri" w:hAnsi="Calibri" w:cs="B Badr" w:hint="cs"/>
          <w:color w:val="C00000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من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لأ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وهام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الأ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خطا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ء.</w:t>
      </w:r>
    </w:p>
    <w:p w:rsidR="00B414AC" w:rsidRPr="00B414AC" w:rsidRDefault="00B414AC" w:rsidP="00B414AC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ثالثاً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.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جميع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تفسيرا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ت التي تطرحها النظرية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فيزي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ائية حول العلاقة بين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ذهن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بدن (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العقل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)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؛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سواء أكانت بالأسلوب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السلوكي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أم بال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صور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 الم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اد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ية ب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قرا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ءة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لهوية التشابهية؛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نوعي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مصداقي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الوظائفية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، كلّها غير تامّة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في رأي العلامة مصباح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،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عاجزة عن تبيين هذه العلاقة على الوجه الصحيح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؛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لأنّ هناك بين هذه القضايا علاقات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عقلي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تُدرس ب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منهج عقلي،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والعلاقات والترابط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حسي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تجريبي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الذي يُبحث ب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منهج تجريبي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لم يُفصل عنها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والسلوك والأداء يؤخذ في رأي أصحاب الاتجاه السلوكي وأصحاب الاتجاه الوظائفي على أنّه ترابط مع الخ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ارج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يمكنها بيان ترابط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نفس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بدن،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إلا أنّه يُلاحظ على ذلك ما يلي: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(العلامة مصباح، (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1982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) ص. 75)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إن كانت ذات تطبيقات ويمكنها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تبيين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هذه العلاقة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فإنّ تطبيقها يقتصر على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مسائل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طبيعي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الخاضعة للت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جرب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ة.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وأمّا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قضايا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التي لا تتعلّق بسلوك الإنسان وأدائه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لا يمكن إخضاعها لتجارب مختبرية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فهي تبقى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بدون تبيين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هو ما يعني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بالنتيجة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أنّهم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(علما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ء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علوم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تجريبية)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لا ي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حق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لهم إنكار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حقا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ئ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ق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ميتافيزيقية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وغير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تجريبي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ة؛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وذلك لأنّ مثل هذه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مسائل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لا تدخل في إطار السلوك والفعل.</w:t>
      </w:r>
    </w:p>
    <w:p w:rsidR="00B414AC" w:rsidRPr="00B414AC" w:rsidRDefault="00B414AC" w:rsidP="00B414AC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B414AC">
        <w:rPr>
          <w:rFonts w:ascii="Calibri" w:eastAsia="Calibri" w:hAnsi="Calibri" w:cs="B Badr" w:hint="eastAsia"/>
          <w:sz w:val="32"/>
          <w:szCs w:val="32"/>
          <w:rtl/>
          <w:lang w:bidi="ar-IQ"/>
        </w:rPr>
        <w:t>رابعاً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: </w:t>
      </w:r>
      <w:r w:rsidRPr="00B414AC">
        <w:rPr>
          <w:rFonts w:ascii="Calibri" w:eastAsia="Calibri" w:hAnsi="Calibri" w:cs="B Badr" w:hint="eastAsia"/>
          <w:sz w:val="32"/>
          <w:szCs w:val="32"/>
          <w:rtl/>
          <w:lang w:bidi="ar-IQ"/>
        </w:rPr>
        <w:t>إذا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eastAsia"/>
          <w:sz w:val="32"/>
          <w:szCs w:val="32"/>
          <w:rtl/>
          <w:lang w:bidi="ar-IQ"/>
        </w:rPr>
        <w:t>كانت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eastAsia"/>
          <w:sz w:val="32"/>
          <w:szCs w:val="32"/>
          <w:rtl/>
          <w:lang w:bidi="ar-IQ"/>
        </w:rPr>
        <w:t>نتائج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eastAsia"/>
          <w:sz w:val="32"/>
          <w:szCs w:val="32"/>
          <w:rtl/>
          <w:lang w:bidi="ar-IQ"/>
        </w:rPr>
        <w:t>السلوك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eastAsia"/>
          <w:sz w:val="32"/>
          <w:szCs w:val="32"/>
          <w:rtl/>
          <w:lang w:bidi="ar-IQ"/>
        </w:rPr>
        <w:t>والأداء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eastAsia"/>
          <w:sz w:val="32"/>
          <w:szCs w:val="32"/>
          <w:rtl/>
          <w:lang w:bidi="ar-IQ"/>
        </w:rPr>
        <w:t>تُدرس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من قبل الفلاسفة عن طريق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لإ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دراکات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حسي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ّة، فهنا يُثار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سؤال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وهو ما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معيار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لكشف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حقيق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الإدراك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حسي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فکر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نا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تج عنه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؟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وهل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تجرب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عملي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ة سوى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ظاهرة جزئي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يخلقها الإ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نسان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، ثمّ تت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کرر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ومن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تکرار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ها تحصل عدّة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ظ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اهر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جديد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ة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متماثلة تُدرك بال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حس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وتُعرف بالمعرفة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تجريبي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ة، غير أنّ المعرفة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تجريبي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 لا تستطيع إثبات العلاقة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ضروري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ة؛ لأنّ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مثل هذه المعرفة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تكشف فقط عن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وجود ظاهر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تين متواليتين،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هذا شيء آخر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غير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اتصالهما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ضروري. (المصدر السابق، ص. 76).</w:t>
      </w:r>
    </w:p>
    <w:p w:rsidR="00B414AC" w:rsidRPr="00B414AC" w:rsidRDefault="00B414AC" w:rsidP="00B414AC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خامساً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: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خاصي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ّة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بحث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علمي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أنّه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تجريبي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ّ.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تجريبي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ت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عني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عدم الخوض فيما وراء المادّة وال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حقا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ئ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ق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ميتافيزيقية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وعدم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حق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في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نفي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ها أو إثباتها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ولا ش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ک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في أنّ التطور الذي حصل في مجال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فيزي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اء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والكيمياء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وعلم الأحياء، وعلم النفس، قد ساعد كثيراً في فهم ظروف التفاعلات التي تحصل فيها،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lastRenderedPageBreak/>
        <w:t>غير أنّ ذلك لم يساعد ب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حقيق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ة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لإ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دراک وکنه 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لإ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دراک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على المستوى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فلسفي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.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بعلم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فيزياء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الكيمياء نتعلّم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کيفي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ة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انتقال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الضوء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وانتقال 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لترددات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صوتي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فيما يخصُّ البصريات والسمع،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وت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حليل ومزج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مواد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فيما يخصُّ الشمّ والذوق.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عند دراستنا لعلم وظائف الأعضاء نت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عل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 کيفي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 عمل الأعضاء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حسي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ّة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وانتقال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تأث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رات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عصبي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ة بواسطة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سلسل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 الأ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عصاب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.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وب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ت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عل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نا لعلم النفس نتعرّف على آلية عمل العقل والذاكرة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وتداعي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معاني؛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ولكن بعد كلّ هذا وذاك يبقى الغموض في المجال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فلسفي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يحيط ب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حقيق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 الإ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دراک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؛ فهل الإدراك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ظاهرة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مادي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أم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مجرد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ة؛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لأنّ ا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ف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ت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ر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ض وجود موجود مجر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د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يصدر عنه الإدراك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أو يحصل منه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انفعال،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لا يتنافى مع أيٍّ من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تفسير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ات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علمي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تجريبي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للإدراك،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B414AC">
        <w:rPr>
          <w:rFonts w:ascii="Calibri" w:eastAsia="Calibri" w:hAnsi="Calibri" w:cs="B Badr" w:hint="cs"/>
          <w:sz w:val="32"/>
          <w:szCs w:val="32"/>
          <w:rtl/>
        </w:rPr>
        <w:t>له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ذا السبب تعتبر إثبات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أو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نفي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تلك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الحاجة دليل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آخر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</w:p>
    <w:p w:rsidR="00B414AC" w:rsidRPr="00B414AC" w:rsidRDefault="00B414AC" w:rsidP="00B414AC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الدليل الآخر ه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و المستوى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فلسفي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في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مقابل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المستوى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علم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ي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فخاصّية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بحث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فلسفي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أنّه يتجاوز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ظواهر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تجريبي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ويتناول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حقيق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 و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کنه ا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لأ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شياء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ب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صور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ة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کلي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وميتافيزيقية.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فإذا لاحظنا أنّ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حرک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 السيارة تحصل بطاقة احتراق الوقود،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فهذا 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تفسير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م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ي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کانيکي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لا يمثل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دليل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اً على عدم حاجة السيارة إلى سائقٍ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وهنا لو ادّعى كفيف أو شخص مغمض العينين عدم رؤية السائق، فهذا لا يعطيه الحقّ في إنكار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وجود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ه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. (المصدر السابق، ص. 54</w:t>
      </w:r>
      <w:r w:rsidRPr="00B414AC">
        <w:rPr>
          <w:rFonts w:ascii="Calibri" w:eastAsia="Calibri" w:hAnsi="Calibri" w:cs="B Badr"/>
          <w:color w:val="C00000"/>
          <w:sz w:val="32"/>
          <w:szCs w:val="32"/>
          <w:rtl/>
          <w:lang w:bidi="ar-IQ"/>
        </w:rPr>
        <w:t xml:space="preserve"> ـ 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55).</w:t>
      </w:r>
    </w:p>
    <w:p w:rsidR="00B414AC" w:rsidRPr="00B414AC" w:rsidRDefault="00B414AC" w:rsidP="00B414AC">
      <w:pPr>
        <w:spacing w:after="0" w:line="240" w:lineRule="auto"/>
        <w:jc w:val="both"/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</w:pPr>
      <w:r w:rsidRPr="00B414AC">
        <w:rPr>
          <w:rFonts w:ascii="Calibri" w:eastAsia="Calibri" w:hAnsi="Calibri" w:cs="B Badr" w:hint="cs"/>
          <w:b/>
          <w:bCs/>
          <w:sz w:val="32"/>
          <w:szCs w:val="32"/>
          <w:rtl/>
          <w:lang w:bidi="ar-IQ"/>
        </w:rPr>
        <w:t>الكلمات</w:t>
      </w:r>
      <w:r w:rsidRPr="00B414AC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t xml:space="preserve"> المفتاحية: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النظرية الفيزيائية، العلامة مصباح اليزدي، العلوم الإنسانية، العلوم الإنسانية الإسلامية، العلوم الإنسانية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وصفي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العلوم الإنسانية </w:t>
      </w:r>
      <w:r w:rsidRPr="00B414AC">
        <w:rPr>
          <w:rFonts w:ascii="Calibri" w:eastAsia="Calibri" w:hAnsi="Calibri" w:cs="B Badr" w:hint="cs"/>
          <w:sz w:val="32"/>
          <w:szCs w:val="32"/>
          <w:rtl/>
          <w:lang w:bidi="ar-IQ"/>
        </w:rPr>
        <w:t>العملية</w:t>
      </w:r>
      <w:r w:rsidRPr="00B414AC">
        <w:rPr>
          <w:rFonts w:ascii="Calibri" w:eastAsia="Calibri" w:hAnsi="Calibri" w:cs="B Badr"/>
          <w:sz w:val="32"/>
          <w:szCs w:val="32"/>
          <w:rtl/>
          <w:lang w:bidi="ar-IQ"/>
        </w:rPr>
        <w:t>.</w:t>
      </w:r>
    </w:p>
    <w:p w:rsidR="00933150" w:rsidRDefault="00933150"/>
    <w:sectPr w:rsidR="00933150" w:rsidSect="004616B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85A" w:rsidRDefault="0080585A" w:rsidP="00B414AC">
      <w:pPr>
        <w:spacing w:after="0" w:line="240" w:lineRule="auto"/>
      </w:pPr>
      <w:r>
        <w:separator/>
      </w:r>
    </w:p>
  </w:endnote>
  <w:endnote w:type="continuationSeparator" w:id="0">
    <w:p w:rsidR="0080585A" w:rsidRDefault="0080585A" w:rsidP="00B4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85A" w:rsidRDefault="0080585A" w:rsidP="00B414AC">
      <w:pPr>
        <w:spacing w:after="0" w:line="240" w:lineRule="auto"/>
      </w:pPr>
      <w:r>
        <w:separator/>
      </w:r>
    </w:p>
  </w:footnote>
  <w:footnote w:type="continuationSeparator" w:id="0">
    <w:p w:rsidR="0080585A" w:rsidRDefault="0080585A" w:rsidP="00B414AC">
      <w:pPr>
        <w:spacing w:after="0" w:line="240" w:lineRule="auto"/>
      </w:pPr>
      <w:r>
        <w:continuationSeparator/>
      </w:r>
    </w:p>
  </w:footnote>
  <w:footnote w:id="1">
    <w:p w:rsidR="00B414AC" w:rsidRPr="00A52CDF" w:rsidRDefault="00B414AC" w:rsidP="00B414AC">
      <w:pPr>
        <w:pStyle w:val="FootnoteText"/>
        <w:rPr>
          <w:rFonts w:ascii="Times New Roman" w:hAnsi="Times New Roman" w:cs="B Badr"/>
          <w:szCs w:val="24"/>
          <w:rtl/>
        </w:rPr>
      </w:pPr>
      <w:r w:rsidRPr="00A52CDF">
        <w:rPr>
          <w:rStyle w:val="FootnoteReference"/>
          <w:rFonts w:ascii="Times New Roman" w:hAnsi="Times New Roman" w:cs="B Badr"/>
          <w:szCs w:val="24"/>
        </w:rPr>
        <w:footnoteRef/>
      </w:r>
      <w:r w:rsidRPr="00A52CDF">
        <w:rPr>
          <w:rFonts w:ascii="Times New Roman" w:hAnsi="Times New Roman" w:cs="B Badr" w:hint="cs"/>
          <w:szCs w:val="24"/>
          <w:rtl/>
        </w:rPr>
        <w:t xml:space="preserve">. أستاذ مساعد في مؤسسة  الإمام الخميني (رحمه الله) للتعليم والبحوث: </w:t>
      </w:r>
      <w:r w:rsidRPr="00A52CDF">
        <w:rPr>
          <w:rFonts w:ascii="Times New Roman" w:hAnsi="Times New Roman" w:cs="B Badr"/>
          <w:szCs w:val="24"/>
        </w:rPr>
        <w:t>namazi@iki.ac.ir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2CE3"/>
    <w:multiLevelType w:val="hybridMultilevel"/>
    <w:tmpl w:val="8EB68514"/>
    <w:lvl w:ilvl="0" w:tplc="484044F2">
      <w:start w:val="1"/>
      <w:numFmt w:val="decimal"/>
      <w:suff w:val="space"/>
      <w:lvlText w:val="%1."/>
      <w:lvlJc w:val="left"/>
      <w:pPr>
        <w:ind w:left="0" w:firstLine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4AC"/>
    <w:rsid w:val="004616BE"/>
    <w:rsid w:val="0080585A"/>
    <w:rsid w:val="008277B2"/>
    <w:rsid w:val="00933150"/>
    <w:rsid w:val="009E0ACC"/>
    <w:rsid w:val="00A00AE0"/>
    <w:rsid w:val="00A25D04"/>
    <w:rsid w:val="00B414AC"/>
    <w:rsid w:val="00BC4445"/>
    <w:rsid w:val="00EC0683"/>
    <w:rsid w:val="00F60747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B414AC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4AC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numbering" w:customStyle="1" w:styleId="NoList1">
    <w:name w:val="No List1"/>
    <w:next w:val="NoList"/>
    <w:uiPriority w:val="99"/>
    <w:semiHidden/>
    <w:unhideWhenUsed/>
    <w:rsid w:val="00B414AC"/>
  </w:style>
  <w:style w:type="paragraph" w:styleId="FootnoteText">
    <w:name w:val="footnote text"/>
    <w:basedOn w:val="Normal"/>
    <w:link w:val="FootnoteTextChar"/>
    <w:uiPriority w:val="99"/>
    <w:semiHidden/>
    <w:unhideWhenUsed/>
    <w:rsid w:val="00B414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14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14AC"/>
    <w:rPr>
      <w:vertAlign w:val="superscript"/>
    </w:rPr>
  </w:style>
  <w:style w:type="character" w:customStyle="1" w:styleId="Hyperlink1">
    <w:name w:val="Hyperlink1"/>
    <w:basedOn w:val="DefaultParagraphFont"/>
    <w:uiPriority w:val="99"/>
    <w:unhideWhenUsed/>
    <w:rsid w:val="00B414A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4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4AC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4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4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4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4AC"/>
    <w:rPr>
      <w:rFonts w:ascii="Segoe UI" w:hAnsi="Segoe UI" w:cs="Segoe UI"/>
      <w:sz w:val="18"/>
      <w:szCs w:val="18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B414AC"/>
    <w:rPr>
      <w:color w:val="80008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B414A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414A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B414AC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4AC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numbering" w:customStyle="1" w:styleId="NoList1">
    <w:name w:val="No List1"/>
    <w:next w:val="NoList"/>
    <w:uiPriority w:val="99"/>
    <w:semiHidden/>
    <w:unhideWhenUsed/>
    <w:rsid w:val="00B414AC"/>
  </w:style>
  <w:style w:type="paragraph" w:styleId="FootnoteText">
    <w:name w:val="footnote text"/>
    <w:basedOn w:val="Normal"/>
    <w:link w:val="FootnoteTextChar"/>
    <w:uiPriority w:val="99"/>
    <w:semiHidden/>
    <w:unhideWhenUsed/>
    <w:rsid w:val="00B414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14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14AC"/>
    <w:rPr>
      <w:vertAlign w:val="superscript"/>
    </w:rPr>
  </w:style>
  <w:style w:type="character" w:customStyle="1" w:styleId="Hyperlink1">
    <w:name w:val="Hyperlink1"/>
    <w:basedOn w:val="DefaultParagraphFont"/>
    <w:uiPriority w:val="99"/>
    <w:unhideWhenUsed/>
    <w:rsid w:val="00B414A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4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4AC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4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4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4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4AC"/>
    <w:rPr>
      <w:rFonts w:ascii="Segoe UI" w:hAnsi="Segoe UI" w:cs="Segoe UI"/>
      <w:sz w:val="18"/>
      <w:szCs w:val="18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B414AC"/>
    <w:rPr>
      <w:color w:val="80008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B414A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414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atid.iki.ac.ir/?prof=163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1007</Words>
  <Characters>5740</Characters>
  <Application>Microsoft Office Word</Application>
  <DocSecurity>0</DocSecurity>
  <Lines>47</Lines>
  <Paragraphs>13</Paragraphs>
  <ScaleCrop>false</ScaleCrop>
  <Company/>
  <LinksUpToDate>false</LinksUpToDate>
  <CharactersWithSpaces>6734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E.N.</dc:creator>
  <cp:lastModifiedBy>E.N.</cp:lastModifiedBy>
  <cp:revision>1</cp:revision>
  <dcterms:created xsi:type="dcterms:W3CDTF">2022-06-15T16:09:00Z</dcterms:created>
  <dcterms:modified xsi:type="dcterms:W3CDTF">2022-06-15T16:11:00Z</dcterms:modified>
</cp:coreProperties>
</file>