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B1E151" w14:textId="5485CF5C" w:rsidR="004304C3" w:rsidRPr="00CA495D" w:rsidRDefault="004304C3" w:rsidP="00BE6BC8">
      <w:pPr>
        <w:keepNext/>
        <w:keepLines/>
        <w:spacing w:before="200" w:after="0" w:line="240" w:lineRule="auto"/>
        <w:outlineLvl w:val="1"/>
        <w:rPr>
          <w:rFonts w:asciiTheme="majorHAnsi" w:eastAsiaTheme="majorEastAsia" w:hAnsiTheme="majorHAnsi" w:cs="B Roya"/>
          <w:b/>
          <w:bCs/>
          <w:sz w:val="28"/>
          <w:szCs w:val="28"/>
          <w:rtl/>
        </w:rPr>
      </w:pPr>
      <w:bookmarkStart w:id="0" w:name="_GoBack"/>
      <w:r w:rsidRPr="00CA495D">
        <w:rPr>
          <w:rFonts w:asciiTheme="majorHAnsi" w:eastAsiaTheme="majorEastAsia" w:hAnsiTheme="majorHAnsi" w:cs="B Roya" w:hint="cs"/>
          <w:b/>
          <w:bCs/>
          <w:sz w:val="28"/>
          <w:szCs w:val="28"/>
          <w:rtl/>
        </w:rPr>
        <w:t xml:space="preserve">کرسی </w:t>
      </w:r>
      <w:bookmarkEnd w:id="0"/>
      <w:r w:rsidRPr="00CA495D">
        <w:rPr>
          <w:rFonts w:asciiTheme="majorHAnsi" w:eastAsiaTheme="majorEastAsia" w:hAnsiTheme="majorHAnsi" w:cs="B Roya" w:hint="cs"/>
          <w:b/>
          <w:bCs/>
          <w:sz w:val="28"/>
          <w:szCs w:val="28"/>
          <w:rtl/>
        </w:rPr>
        <w:t xml:space="preserve">علمی-ترویجی </w:t>
      </w:r>
      <w:r w:rsidR="00BE6BC8">
        <w:rPr>
          <w:rFonts w:asciiTheme="majorHAnsi" w:eastAsiaTheme="majorEastAsia" w:hAnsiTheme="majorHAnsi" w:cs="B Roya" w:hint="cs"/>
          <w:b/>
          <w:bCs/>
          <w:sz w:val="28"/>
          <w:szCs w:val="28"/>
          <w:rtl/>
        </w:rPr>
        <w:t>157</w:t>
      </w:r>
    </w:p>
    <w:p w14:paraId="361DAB48" w14:textId="39CEAC47" w:rsidR="004304C3" w:rsidRPr="00CA495D" w:rsidRDefault="00BE6BC8" w:rsidP="00B344B3">
      <w:pPr>
        <w:keepNext/>
        <w:keepLines/>
        <w:spacing w:before="200" w:after="0" w:line="240" w:lineRule="auto"/>
        <w:outlineLvl w:val="1"/>
        <w:rPr>
          <w:rFonts w:asciiTheme="majorHAnsi" w:eastAsiaTheme="majorEastAsia" w:hAnsiTheme="majorHAnsi" w:cs="B Roya"/>
          <w:b/>
          <w:bCs/>
          <w:sz w:val="28"/>
          <w:szCs w:val="28"/>
          <w:rtl/>
        </w:rPr>
      </w:pPr>
      <w:r>
        <w:rPr>
          <w:rFonts w:asciiTheme="majorHAnsi" w:eastAsiaTheme="majorEastAsia" w:hAnsiTheme="majorHAnsi" w:cs="B Roya" w:hint="cs"/>
          <w:b/>
          <w:bCs/>
          <w:sz w:val="28"/>
          <w:szCs w:val="28"/>
          <w:rtl/>
        </w:rPr>
        <w:t>هفدهمین</w:t>
      </w:r>
      <w:r w:rsidR="00C861DD" w:rsidRPr="00CA495D">
        <w:rPr>
          <w:rFonts w:asciiTheme="majorHAnsi" w:eastAsiaTheme="majorEastAsia" w:hAnsiTheme="majorHAnsi" w:cs="B Roya" w:hint="cs"/>
          <w:b/>
          <w:bCs/>
          <w:sz w:val="28"/>
          <w:szCs w:val="28"/>
          <w:rtl/>
        </w:rPr>
        <w:t xml:space="preserve"> </w:t>
      </w:r>
      <w:r w:rsidR="00B344B3">
        <w:rPr>
          <w:rFonts w:asciiTheme="majorHAnsi" w:eastAsiaTheme="majorEastAsia" w:hAnsiTheme="majorHAnsi" w:cs="B Roya" w:hint="cs"/>
          <w:b/>
          <w:bCs/>
          <w:sz w:val="28"/>
          <w:szCs w:val="28"/>
          <w:rtl/>
        </w:rPr>
        <w:t>کرسی</w:t>
      </w:r>
      <w:r w:rsidR="004304C3" w:rsidRPr="00CA495D">
        <w:rPr>
          <w:rFonts w:asciiTheme="majorHAnsi" w:eastAsiaTheme="majorEastAsia" w:hAnsiTheme="majorHAnsi" w:cs="B Roya" w:hint="cs"/>
          <w:b/>
          <w:bCs/>
          <w:sz w:val="28"/>
          <w:szCs w:val="28"/>
          <w:rtl/>
        </w:rPr>
        <w:t xml:space="preserve"> همایش علوم انسانی اسلامی در اندیشه علامه مصباح یزدی (ره)</w:t>
      </w:r>
    </w:p>
    <w:p w14:paraId="2B40AE3E" w14:textId="0A95F83F" w:rsidR="004304C3" w:rsidRPr="00CA495D" w:rsidRDefault="00BE6BC8" w:rsidP="00BE6BC8">
      <w:pPr>
        <w:keepNext/>
        <w:keepLines/>
        <w:spacing w:before="200" w:after="0" w:line="240" w:lineRule="auto"/>
        <w:outlineLvl w:val="1"/>
        <w:rPr>
          <w:rFonts w:asciiTheme="majorHAnsi" w:eastAsiaTheme="majorEastAsia" w:hAnsiTheme="majorHAnsi" w:cs="B Roya"/>
          <w:b/>
          <w:bCs/>
          <w:sz w:val="28"/>
          <w:szCs w:val="28"/>
          <w:u w:val="single"/>
          <w:rtl/>
        </w:rPr>
      </w:pPr>
      <w:r w:rsidRPr="00BE6BC8">
        <w:rPr>
          <w:rFonts w:asciiTheme="majorHAnsi" w:eastAsiaTheme="majorEastAsia" w:hAnsiTheme="majorHAnsi" w:cs="B Roya" w:hint="cs"/>
          <w:b/>
          <w:bCs/>
          <w:sz w:val="28"/>
          <w:szCs w:val="28"/>
          <w:u w:val="single"/>
          <w:rtl/>
        </w:rPr>
        <w:t xml:space="preserve">فردگرایی و کل‌گرایی روش‌شناختی در علم اجتماعی از منظر </w:t>
      </w:r>
      <w:r w:rsidR="009D13FB">
        <w:rPr>
          <w:rFonts w:asciiTheme="majorHAnsi" w:eastAsiaTheme="majorEastAsia" w:hAnsiTheme="majorHAnsi" w:cs="B Roya" w:hint="cs"/>
          <w:b/>
          <w:bCs/>
          <w:sz w:val="28"/>
          <w:szCs w:val="28"/>
          <w:u w:val="single"/>
          <w:rtl/>
        </w:rPr>
        <w:t>آیت‌الله</w:t>
      </w:r>
      <w:r w:rsidRPr="00BE6BC8">
        <w:rPr>
          <w:rFonts w:asciiTheme="majorHAnsi" w:eastAsiaTheme="majorEastAsia" w:hAnsiTheme="majorHAnsi" w:cs="B Roya" w:hint="cs"/>
          <w:b/>
          <w:bCs/>
          <w:sz w:val="28"/>
          <w:szCs w:val="28"/>
          <w:u w:val="single"/>
          <w:rtl/>
        </w:rPr>
        <w:t xml:space="preserve"> مصباح یزدی </w:t>
      </w:r>
      <w:r>
        <w:rPr>
          <w:rFonts w:asciiTheme="majorHAnsi" w:eastAsiaTheme="majorEastAsia" w:hAnsiTheme="majorHAnsi" w:cs="B Roya" w:hint="cs"/>
          <w:b/>
          <w:bCs/>
          <w:sz w:val="28"/>
          <w:szCs w:val="28"/>
          <w:u w:val="single"/>
          <w:rtl/>
        </w:rPr>
        <w:t>(</w:t>
      </w:r>
      <w:r w:rsidRPr="00BE6BC8">
        <w:rPr>
          <w:rFonts w:asciiTheme="majorHAnsi" w:eastAsiaTheme="majorEastAsia" w:hAnsiTheme="majorHAnsi" w:cs="B Roya" w:hint="cs"/>
          <w:b/>
          <w:bCs/>
          <w:sz w:val="28"/>
          <w:szCs w:val="28"/>
          <w:u w:val="single"/>
          <w:rtl/>
        </w:rPr>
        <w:t>ره</w:t>
      </w:r>
      <w:r>
        <w:rPr>
          <w:rFonts w:asciiTheme="majorHAnsi" w:eastAsiaTheme="majorEastAsia" w:hAnsiTheme="majorHAnsi" w:cs="B Roya" w:hint="cs"/>
          <w:b/>
          <w:bCs/>
          <w:sz w:val="28"/>
          <w:szCs w:val="28"/>
          <w:u w:val="single"/>
          <w:rtl/>
        </w:rPr>
        <w:t>)</w:t>
      </w:r>
    </w:p>
    <w:p w14:paraId="6B694621" w14:textId="603BA5C9" w:rsidR="004304C3" w:rsidRPr="00CA495D" w:rsidRDefault="00BE6BC8" w:rsidP="00C2582D">
      <w:pPr>
        <w:keepNext/>
        <w:keepLines/>
        <w:spacing w:before="200" w:after="0" w:line="240" w:lineRule="auto"/>
        <w:outlineLvl w:val="1"/>
        <w:rPr>
          <w:rFonts w:asciiTheme="majorHAnsi" w:eastAsiaTheme="majorEastAsia" w:hAnsiTheme="majorHAnsi" w:cs="B Roya"/>
          <w:sz w:val="28"/>
          <w:szCs w:val="28"/>
          <w:rtl/>
        </w:rPr>
      </w:pPr>
      <w:r w:rsidRPr="00BE6BC8">
        <w:rPr>
          <w:rFonts w:asciiTheme="majorHAnsi" w:eastAsiaTheme="majorEastAsia" w:hAnsiTheme="majorHAnsi" w:cs="B Roya" w:hint="cs"/>
          <w:sz w:val="28"/>
          <w:szCs w:val="28"/>
          <w:u w:val="single"/>
          <w:rtl/>
        </w:rPr>
        <w:t>صادق گ</w:t>
      </w:r>
      <w:r w:rsidRPr="00BE6BC8">
        <w:rPr>
          <w:rStyle w:val="Hyperlink"/>
          <w:rFonts w:asciiTheme="majorHAnsi" w:eastAsiaTheme="majorEastAsia" w:hAnsiTheme="majorHAnsi" w:cs="B Roya" w:hint="cs"/>
          <w:color w:val="auto"/>
          <w:sz w:val="28"/>
          <w:szCs w:val="28"/>
          <w:rtl/>
        </w:rPr>
        <w:t>لستانی</w:t>
      </w:r>
      <w:r w:rsidR="00874DF6" w:rsidRPr="00CA495D">
        <w:rPr>
          <w:rStyle w:val="FootnoteReference"/>
          <w:rFonts w:asciiTheme="majorHAnsi" w:eastAsiaTheme="majorEastAsia" w:hAnsiTheme="majorHAnsi" w:cs="B Roya"/>
          <w:sz w:val="28"/>
          <w:szCs w:val="28"/>
          <w:rtl/>
        </w:rPr>
        <w:footnoteReference w:id="1"/>
      </w:r>
    </w:p>
    <w:p w14:paraId="40B45660" w14:textId="77777777" w:rsidR="00D23074" w:rsidRPr="00CA495D" w:rsidRDefault="00D23074" w:rsidP="004304C3">
      <w:pPr>
        <w:keepNext/>
        <w:keepLines/>
        <w:spacing w:before="200" w:after="0" w:line="240" w:lineRule="auto"/>
        <w:outlineLvl w:val="1"/>
        <w:rPr>
          <w:rFonts w:asciiTheme="majorHAnsi" w:eastAsiaTheme="majorEastAsia" w:hAnsiTheme="majorHAnsi" w:cs="B Roya"/>
          <w:b/>
          <w:bCs/>
          <w:sz w:val="28"/>
          <w:szCs w:val="28"/>
          <w:u w:val="single"/>
          <w:rtl/>
        </w:rPr>
      </w:pPr>
      <w:r w:rsidRPr="00CA495D">
        <w:rPr>
          <w:rFonts w:asciiTheme="majorHAnsi" w:eastAsiaTheme="majorEastAsia" w:hAnsiTheme="majorHAnsi" w:cs="B Roya" w:hint="cs"/>
          <w:b/>
          <w:bCs/>
          <w:sz w:val="28"/>
          <w:szCs w:val="28"/>
          <w:u w:val="single"/>
          <w:rtl/>
        </w:rPr>
        <w:t>چکیده</w:t>
      </w:r>
    </w:p>
    <w:p w14:paraId="61627A6A" w14:textId="7E1C3253" w:rsidR="00B23FAB" w:rsidRPr="00CA495D" w:rsidRDefault="00B23FAB" w:rsidP="00BE6BC8">
      <w:pPr>
        <w:spacing w:line="240" w:lineRule="auto"/>
        <w:jc w:val="both"/>
        <w:rPr>
          <w:rFonts w:cs="B Roya"/>
          <w:sz w:val="28"/>
          <w:szCs w:val="28"/>
          <w:rtl/>
        </w:rPr>
      </w:pPr>
      <w:r w:rsidRPr="00CA495D">
        <w:rPr>
          <w:rFonts w:cs="B Roya" w:hint="cs"/>
          <w:b/>
          <w:bCs/>
          <w:sz w:val="28"/>
          <w:szCs w:val="28"/>
          <w:rtl/>
        </w:rPr>
        <w:t>هدف:</w:t>
      </w:r>
      <w:r w:rsidR="00C2582D">
        <w:rPr>
          <w:rFonts w:cs="B Roya" w:hint="cs"/>
          <w:sz w:val="28"/>
          <w:szCs w:val="28"/>
          <w:rtl/>
        </w:rPr>
        <w:t xml:space="preserve"> </w:t>
      </w:r>
      <w:r w:rsidR="00BE6BC8" w:rsidRPr="00BE6BC8">
        <w:rPr>
          <w:rFonts w:cs="B Roya" w:hint="cs"/>
          <w:sz w:val="28"/>
          <w:szCs w:val="28"/>
          <w:rtl/>
        </w:rPr>
        <w:t xml:space="preserve">مقوله روش‌شناسی از مسائل برجسته فلسفه علوم اجتماعی است و مسأله فردگرایی و جمع‌گرایی روش‌شناختی </w:t>
      </w:r>
      <w:r w:rsidR="009D13FB">
        <w:rPr>
          <w:rFonts w:cs="B Roya" w:hint="cs"/>
          <w:sz w:val="28"/>
          <w:szCs w:val="28"/>
          <w:rtl/>
        </w:rPr>
        <w:t>ازجمله</w:t>
      </w:r>
      <w:r w:rsidR="00BE6BC8" w:rsidRPr="00BE6BC8">
        <w:rPr>
          <w:rFonts w:cs="B Roya" w:hint="cs"/>
          <w:sz w:val="28"/>
          <w:szCs w:val="28"/>
          <w:rtl/>
        </w:rPr>
        <w:t xml:space="preserve"> مسائل پر مناقشه این عرصه </w:t>
      </w:r>
      <w:r w:rsidR="009D13FB">
        <w:rPr>
          <w:rFonts w:cs="B Roya" w:hint="cs"/>
          <w:sz w:val="28"/>
          <w:szCs w:val="28"/>
          <w:rtl/>
        </w:rPr>
        <w:t>هست</w:t>
      </w:r>
      <w:r w:rsidR="00BE6BC8" w:rsidRPr="00BE6BC8">
        <w:rPr>
          <w:rFonts w:cs="B Roya" w:hint="cs"/>
          <w:sz w:val="28"/>
          <w:szCs w:val="28"/>
          <w:rtl/>
        </w:rPr>
        <w:t xml:space="preserve">. فیلسوفان اجتماعی را در یک </w:t>
      </w:r>
      <w:r w:rsidR="009D13FB">
        <w:rPr>
          <w:rFonts w:cs="B Roya" w:hint="cs"/>
          <w:sz w:val="28"/>
          <w:szCs w:val="28"/>
          <w:rtl/>
        </w:rPr>
        <w:t>صورت‌بندی</w:t>
      </w:r>
      <w:r w:rsidR="00BE6BC8" w:rsidRPr="00BE6BC8">
        <w:rPr>
          <w:rFonts w:cs="B Roya" w:hint="cs"/>
          <w:sz w:val="28"/>
          <w:szCs w:val="28"/>
          <w:rtl/>
        </w:rPr>
        <w:t xml:space="preserve"> می‌توان در سه دسته فردگرایی و جمع‌گرایی روش‌شناختی و کثرت‌گرایی روشی</w:t>
      </w:r>
      <w:r w:rsidR="009D13FB">
        <w:rPr>
          <w:rFonts w:cs="B Roya"/>
          <w:sz w:val="28"/>
          <w:szCs w:val="28"/>
          <w:rtl/>
        </w:rPr>
        <w:t xml:space="preserve"> </w:t>
      </w:r>
      <w:r w:rsidR="009D13FB">
        <w:rPr>
          <w:rFonts w:cs="B Roya" w:hint="cs"/>
          <w:sz w:val="28"/>
          <w:szCs w:val="28"/>
          <w:rtl/>
        </w:rPr>
        <w:t>دسته‌بندی</w:t>
      </w:r>
      <w:r w:rsidR="00BE6BC8" w:rsidRPr="00BE6BC8">
        <w:rPr>
          <w:rFonts w:cs="B Roya" w:hint="cs"/>
          <w:sz w:val="28"/>
          <w:szCs w:val="28"/>
          <w:rtl/>
        </w:rPr>
        <w:t xml:space="preserve"> نمود. هر یک مدعیات روش‌شناختی خود را با شواهدی قرین ساخته‌اند. مسأله اصلی این پژوهش بررسی دیدگاه آیت‌الله مصباح در این صورت‌بندی است. پرسش اصلی این است که مطالعه اندیشه‌های اجتماعی آیت‌الله مصباح ما را به </w:t>
      </w:r>
      <w:r w:rsidR="009D13FB">
        <w:rPr>
          <w:rFonts w:cs="B Roya" w:hint="cs"/>
          <w:sz w:val="28"/>
          <w:szCs w:val="28"/>
          <w:rtl/>
        </w:rPr>
        <w:t>کدام‌یک</w:t>
      </w:r>
      <w:r w:rsidR="00BE6BC8">
        <w:rPr>
          <w:rFonts w:cs="B Roya" w:hint="cs"/>
          <w:sz w:val="28"/>
          <w:szCs w:val="28"/>
          <w:rtl/>
        </w:rPr>
        <w:t xml:space="preserve"> از آن سه رویکرد رهنمون می‌سازد</w:t>
      </w:r>
      <w:r w:rsidR="000E06F1" w:rsidRPr="00CA495D">
        <w:rPr>
          <w:rFonts w:cs="B Roya" w:hint="cs"/>
          <w:sz w:val="28"/>
          <w:szCs w:val="28"/>
          <w:rtl/>
        </w:rPr>
        <w:t>.</w:t>
      </w:r>
    </w:p>
    <w:p w14:paraId="19FF10AC" w14:textId="59AFAD24" w:rsidR="00B23FAB" w:rsidRPr="00CA495D" w:rsidRDefault="00B23FAB" w:rsidP="00BE6BC8">
      <w:pPr>
        <w:spacing w:line="240" w:lineRule="auto"/>
        <w:jc w:val="both"/>
        <w:rPr>
          <w:rFonts w:cs="B Roya"/>
          <w:sz w:val="28"/>
          <w:szCs w:val="28"/>
          <w:rtl/>
        </w:rPr>
      </w:pPr>
      <w:r w:rsidRPr="00CA495D">
        <w:rPr>
          <w:rFonts w:cs="B Roya" w:hint="cs"/>
          <w:b/>
          <w:bCs/>
          <w:sz w:val="28"/>
          <w:szCs w:val="28"/>
          <w:rtl/>
        </w:rPr>
        <w:t>روش‌شناسی پژوهش</w:t>
      </w:r>
      <w:r w:rsidRPr="00CA495D">
        <w:rPr>
          <w:rFonts w:cs="B Roya" w:hint="cs"/>
          <w:sz w:val="28"/>
          <w:szCs w:val="28"/>
          <w:rtl/>
        </w:rPr>
        <w:t>:</w:t>
      </w:r>
      <w:r w:rsidR="00C2582D" w:rsidRPr="00C2582D">
        <w:rPr>
          <w:rFonts w:ascii="Calibri" w:hAnsi="Calibri" w:cs="Calibri"/>
          <w:rtl/>
        </w:rPr>
        <w:t xml:space="preserve"> </w:t>
      </w:r>
      <w:r w:rsidR="00BE6BC8" w:rsidRPr="00BE6BC8">
        <w:rPr>
          <w:rFonts w:cs="B Roya" w:hint="cs"/>
          <w:sz w:val="28"/>
          <w:szCs w:val="28"/>
          <w:rtl/>
        </w:rPr>
        <w:t xml:space="preserve">این پژوهش بر اساس تحلیل محتوای آثار آیت‌الله مصباح </w:t>
      </w:r>
      <w:r w:rsidR="009D13FB">
        <w:rPr>
          <w:rFonts w:cs="B Roya" w:hint="cs"/>
          <w:sz w:val="28"/>
          <w:szCs w:val="28"/>
          <w:rtl/>
        </w:rPr>
        <w:t>سازمان‌یافته</w:t>
      </w:r>
      <w:r w:rsidR="009D13FB">
        <w:rPr>
          <w:rFonts w:cs="B Roya"/>
          <w:sz w:val="28"/>
          <w:szCs w:val="28"/>
          <w:rtl/>
        </w:rPr>
        <w:t xml:space="preserve"> </w:t>
      </w:r>
      <w:r w:rsidR="00BE6BC8" w:rsidRPr="00BE6BC8">
        <w:rPr>
          <w:rFonts w:cs="B Roya" w:hint="cs"/>
          <w:sz w:val="28"/>
          <w:szCs w:val="28"/>
          <w:rtl/>
        </w:rPr>
        <w:t>و</w:t>
      </w:r>
      <w:r w:rsidR="009D13FB">
        <w:rPr>
          <w:rFonts w:cs="B Roya"/>
          <w:sz w:val="28"/>
          <w:szCs w:val="28"/>
          <w:rtl/>
        </w:rPr>
        <w:t xml:space="preserve"> </w:t>
      </w:r>
      <w:r w:rsidR="00BE6BC8" w:rsidRPr="00BE6BC8">
        <w:rPr>
          <w:rFonts w:cs="B Roya" w:hint="cs"/>
          <w:sz w:val="28"/>
          <w:szCs w:val="28"/>
          <w:rtl/>
        </w:rPr>
        <w:t>سپس با استفاده از روش‌شناسی بنیادین رویکرد روشی ایشان پی‌گرفته شده است</w:t>
      </w:r>
      <w:r w:rsidR="00D23074" w:rsidRPr="00CA495D">
        <w:rPr>
          <w:rFonts w:cs="B Roya" w:hint="cs"/>
          <w:sz w:val="28"/>
          <w:szCs w:val="28"/>
          <w:rtl/>
        </w:rPr>
        <w:t>.</w:t>
      </w:r>
    </w:p>
    <w:p w14:paraId="692F59FE" w14:textId="22B25FCD" w:rsidR="00D23074" w:rsidRDefault="00B23FAB" w:rsidP="00BE6BC8">
      <w:pPr>
        <w:spacing w:line="240" w:lineRule="auto"/>
        <w:jc w:val="both"/>
        <w:rPr>
          <w:rFonts w:cs="B Roya"/>
          <w:sz w:val="28"/>
          <w:szCs w:val="28"/>
          <w:rtl/>
        </w:rPr>
      </w:pPr>
      <w:r w:rsidRPr="00CA495D">
        <w:rPr>
          <w:rFonts w:cs="B Roya" w:hint="cs"/>
          <w:b/>
          <w:bCs/>
          <w:sz w:val="28"/>
          <w:szCs w:val="28"/>
          <w:rtl/>
        </w:rPr>
        <w:t>ی</w:t>
      </w:r>
      <w:r w:rsidRPr="00CA495D">
        <w:rPr>
          <w:rFonts w:cs="B Roya" w:hint="eastAsia"/>
          <w:b/>
          <w:bCs/>
          <w:sz w:val="28"/>
          <w:szCs w:val="28"/>
          <w:rtl/>
        </w:rPr>
        <w:t>افته‌ها</w:t>
      </w:r>
      <w:r w:rsidRPr="00CA495D">
        <w:rPr>
          <w:rFonts w:cs="B Roya" w:hint="cs"/>
          <w:b/>
          <w:bCs/>
          <w:sz w:val="28"/>
          <w:szCs w:val="28"/>
          <w:rtl/>
        </w:rPr>
        <w:t>:</w:t>
      </w:r>
      <w:r w:rsidRPr="00CA495D">
        <w:rPr>
          <w:rFonts w:cs="B Roya" w:hint="cs"/>
          <w:sz w:val="28"/>
          <w:szCs w:val="28"/>
          <w:rtl/>
        </w:rPr>
        <w:t xml:space="preserve"> </w:t>
      </w:r>
      <w:r w:rsidR="00BE6BC8" w:rsidRPr="00BE6BC8">
        <w:rPr>
          <w:rFonts w:cs="B Roya" w:hint="cs"/>
          <w:sz w:val="28"/>
          <w:szCs w:val="28"/>
          <w:rtl/>
        </w:rPr>
        <w:t>بازخوانی تأملات نظری علامه مصباح نشان می‌دهد که ایشان</w:t>
      </w:r>
      <w:r w:rsidR="009D13FB">
        <w:rPr>
          <w:rFonts w:cs="B Roya"/>
          <w:sz w:val="28"/>
          <w:szCs w:val="28"/>
          <w:rtl/>
        </w:rPr>
        <w:t xml:space="preserve"> </w:t>
      </w:r>
      <w:r w:rsidR="009D13FB">
        <w:rPr>
          <w:rFonts w:cs="B Roya" w:hint="cs"/>
          <w:sz w:val="28"/>
          <w:szCs w:val="28"/>
          <w:rtl/>
        </w:rPr>
        <w:t>رویکرد</w:t>
      </w:r>
      <w:r w:rsidR="00BE6BC8" w:rsidRPr="00BE6BC8">
        <w:rPr>
          <w:rFonts w:cs="B Roya" w:hint="cs"/>
          <w:sz w:val="28"/>
          <w:szCs w:val="28"/>
          <w:rtl/>
        </w:rPr>
        <w:t xml:space="preserve"> کثرت‌گرایی روشی </w:t>
      </w:r>
      <w:r w:rsidR="009D13FB">
        <w:rPr>
          <w:rFonts w:cs="B Roya" w:hint="cs"/>
          <w:sz w:val="28"/>
          <w:szCs w:val="28"/>
          <w:rtl/>
        </w:rPr>
        <w:t>روان‌شناختی</w:t>
      </w:r>
      <w:r w:rsidR="00BE6BC8" w:rsidRPr="00BE6BC8">
        <w:rPr>
          <w:rFonts w:cs="B Roya" w:hint="cs"/>
          <w:sz w:val="28"/>
          <w:szCs w:val="28"/>
          <w:rtl/>
        </w:rPr>
        <w:t xml:space="preserve"> و جامعه‌شناختی را</w:t>
      </w:r>
      <w:r w:rsidR="009D13FB">
        <w:rPr>
          <w:rFonts w:cs="B Roya"/>
          <w:sz w:val="28"/>
          <w:szCs w:val="28"/>
          <w:rtl/>
        </w:rPr>
        <w:t xml:space="preserve"> </w:t>
      </w:r>
      <w:r w:rsidR="00BE6BC8" w:rsidRPr="00BE6BC8">
        <w:rPr>
          <w:rFonts w:cs="B Roya" w:hint="cs"/>
          <w:sz w:val="28"/>
          <w:szCs w:val="28"/>
          <w:rtl/>
        </w:rPr>
        <w:t xml:space="preserve">در شناخت و تبیین مسائل اجتماعی معتبر می‌داند. مبادی انسان‌شناختی شکل‌گیری جامعه و نقش اراده و اختیار در تکوین شخصیت، مؤید رویکرد فردگرایانه، اما </w:t>
      </w:r>
      <w:r w:rsidR="009D13FB">
        <w:rPr>
          <w:rFonts w:cs="B Roya" w:hint="cs"/>
          <w:sz w:val="28"/>
          <w:szCs w:val="28"/>
          <w:rtl/>
        </w:rPr>
        <w:t>تحلیل‌های</w:t>
      </w:r>
      <w:r w:rsidR="00BE6BC8" w:rsidRPr="00BE6BC8">
        <w:rPr>
          <w:rFonts w:cs="B Roya" w:hint="cs"/>
          <w:sz w:val="28"/>
          <w:szCs w:val="28"/>
          <w:rtl/>
        </w:rPr>
        <w:t xml:space="preserve"> ساختاری</w:t>
      </w:r>
      <w:r w:rsidR="009D13FB">
        <w:rPr>
          <w:rFonts w:cs="B Roya"/>
          <w:sz w:val="28"/>
          <w:szCs w:val="28"/>
          <w:rtl/>
        </w:rPr>
        <w:t xml:space="preserve"> </w:t>
      </w:r>
      <w:r w:rsidR="00BE6BC8" w:rsidRPr="00BE6BC8">
        <w:rPr>
          <w:rFonts w:cs="B Roya" w:hint="cs"/>
          <w:sz w:val="28"/>
          <w:szCs w:val="28"/>
          <w:rtl/>
        </w:rPr>
        <w:t>و نقش جامعه در شکوفایی شخصیت، شواهدی بر رویکرد کل‌گرایانه ایشان شمرده می‌شود</w:t>
      </w:r>
      <w:r w:rsidR="00D23074" w:rsidRPr="00CA495D">
        <w:rPr>
          <w:rFonts w:cs="B Roya" w:hint="cs"/>
          <w:sz w:val="28"/>
          <w:szCs w:val="28"/>
          <w:rtl/>
        </w:rPr>
        <w:t>.</w:t>
      </w:r>
    </w:p>
    <w:p w14:paraId="589C585D" w14:textId="53AF57E8" w:rsidR="00C2582D" w:rsidRPr="00CA495D" w:rsidRDefault="00D15BB5" w:rsidP="00BE6BC8">
      <w:pPr>
        <w:spacing w:line="240" w:lineRule="auto"/>
        <w:jc w:val="both"/>
        <w:rPr>
          <w:rFonts w:cs="B Roya"/>
          <w:sz w:val="28"/>
          <w:szCs w:val="28"/>
          <w:rtl/>
        </w:rPr>
      </w:pPr>
      <w:r>
        <w:rPr>
          <w:rFonts w:cs="B Roya"/>
          <w:b/>
          <w:bCs/>
          <w:sz w:val="28"/>
          <w:szCs w:val="28"/>
          <w:rtl/>
        </w:rPr>
        <w:t>نت</w:t>
      </w:r>
      <w:r>
        <w:rPr>
          <w:rFonts w:cs="B Roya" w:hint="cs"/>
          <w:b/>
          <w:bCs/>
          <w:sz w:val="28"/>
          <w:szCs w:val="28"/>
          <w:rtl/>
        </w:rPr>
        <w:t>ی</w:t>
      </w:r>
      <w:r>
        <w:rPr>
          <w:rFonts w:cs="B Roya" w:hint="eastAsia"/>
          <w:b/>
          <w:bCs/>
          <w:sz w:val="28"/>
          <w:szCs w:val="28"/>
          <w:rtl/>
        </w:rPr>
        <w:t>جه‌گ</w:t>
      </w:r>
      <w:r>
        <w:rPr>
          <w:rFonts w:cs="B Roya" w:hint="cs"/>
          <w:b/>
          <w:bCs/>
          <w:sz w:val="28"/>
          <w:szCs w:val="28"/>
          <w:rtl/>
        </w:rPr>
        <w:t>ی</w:t>
      </w:r>
      <w:r>
        <w:rPr>
          <w:rFonts w:cs="B Roya" w:hint="eastAsia"/>
          <w:b/>
          <w:bCs/>
          <w:sz w:val="28"/>
          <w:szCs w:val="28"/>
          <w:rtl/>
        </w:rPr>
        <w:t>ر</w:t>
      </w:r>
      <w:r>
        <w:rPr>
          <w:rFonts w:cs="B Roya" w:hint="cs"/>
          <w:b/>
          <w:bCs/>
          <w:sz w:val="28"/>
          <w:szCs w:val="28"/>
          <w:rtl/>
        </w:rPr>
        <w:t>ی</w:t>
      </w:r>
      <w:r w:rsidR="00C2582D">
        <w:rPr>
          <w:rFonts w:cs="B Roya" w:hint="cs"/>
          <w:sz w:val="28"/>
          <w:szCs w:val="28"/>
          <w:rtl/>
        </w:rPr>
        <w:t xml:space="preserve">: </w:t>
      </w:r>
      <w:r w:rsidR="00BE6BC8" w:rsidRPr="00BE6BC8">
        <w:rPr>
          <w:rFonts w:cs="B Roya" w:hint="cs"/>
          <w:sz w:val="28"/>
          <w:szCs w:val="28"/>
          <w:rtl/>
        </w:rPr>
        <w:t xml:space="preserve">ادبیات نظری عاملان اجتماعی نشانگر سوگیری آنان در یکی از دو روش فردگرایانه و جمع‌گرایانه را در شناخت اجتماعی نشان می‌دهد، اما مطالعه </w:t>
      </w:r>
      <w:r w:rsidR="00BE6BC8">
        <w:rPr>
          <w:rFonts w:cs="B Roya"/>
          <w:sz w:val="28"/>
          <w:szCs w:val="28"/>
          <w:rtl/>
        </w:rPr>
        <w:t>بن</w:t>
      </w:r>
      <w:r w:rsidR="00BE6BC8">
        <w:rPr>
          <w:rFonts w:cs="B Roya" w:hint="cs"/>
          <w:sz w:val="28"/>
          <w:szCs w:val="28"/>
          <w:rtl/>
        </w:rPr>
        <w:t>ی</w:t>
      </w:r>
      <w:r w:rsidR="00BE6BC8">
        <w:rPr>
          <w:rFonts w:cs="B Roya" w:hint="eastAsia"/>
          <w:sz w:val="28"/>
          <w:szCs w:val="28"/>
          <w:rtl/>
        </w:rPr>
        <w:t>ادها</w:t>
      </w:r>
      <w:r w:rsidR="00BE6BC8">
        <w:rPr>
          <w:rFonts w:cs="B Roya" w:hint="cs"/>
          <w:sz w:val="28"/>
          <w:szCs w:val="28"/>
          <w:rtl/>
        </w:rPr>
        <w:t>ی</w:t>
      </w:r>
      <w:r w:rsidR="00BE6BC8" w:rsidRPr="00BE6BC8">
        <w:rPr>
          <w:rFonts w:cs="B Roya" w:hint="cs"/>
          <w:sz w:val="28"/>
          <w:szCs w:val="28"/>
          <w:rtl/>
        </w:rPr>
        <w:t xml:space="preserve"> اندیشه‌ای حضرت علامه مصباح ره نشانگر آن است که ایشان در فهم و تبیین کنش‌ها و پیامدهای آن </w:t>
      </w:r>
      <w:r w:rsidR="009D13FB">
        <w:rPr>
          <w:rFonts w:cs="B Roya" w:hint="cs"/>
          <w:sz w:val="28"/>
          <w:szCs w:val="28"/>
          <w:rtl/>
        </w:rPr>
        <w:t>هیچ‌یک</w:t>
      </w:r>
      <w:r w:rsidR="00BE6BC8" w:rsidRPr="00BE6BC8">
        <w:rPr>
          <w:rFonts w:cs="B Roya" w:hint="cs"/>
          <w:sz w:val="28"/>
          <w:szCs w:val="28"/>
          <w:rtl/>
        </w:rPr>
        <w:t xml:space="preserve"> از دو رویکرد را تمام نمی‌داند </w:t>
      </w:r>
      <w:r w:rsidR="009D13FB">
        <w:rPr>
          <w:rFonts w:cs="B Roya" w:hint="cs"/>
          <w:sz w:val="28"/>
          <w:szCs w:val="28"/>
          <w:rtl/>
        </w:rPr>
        <w:t>ازاین‌رو</w:t>
      </w:r>
      <w:r w:rsidR="00BE6BC8" w:rsidRPr="00BE6BC8">
        <w:rPr>
          <w:rFonts w:cs="B Roya" w:hint="cs"/>
          <w:sz w:val="28"/>
          <w:szCs w:val="28"/>
          <w:rtl/>
        </w:rPr>
        <w:t xml:space="preserve"> ضمن </w:t>
      </w:r>
      <w:r w:rsidR="009D13FB">
        <w:rPr>
          <w:rFonts w:cs="B Roya" w:hint="cs"/>
          <w:sz w:val="28"/>
          <w:szCs w:val="28"/>
          <w:rtl/>
        </w:rPr>
        <w:t>بهره گرفتن</w:t>
      </w:r>
      <w:r w:rsidR="00BE6BC8" w:rsidRPr="00BE6BC8">
        <w:rPr>
          <w:rFonts w:cs="B Roya" w:hint="cs"/>
          <w:sz w:val="28"/>
          <w:szCs w:val="28"/>
          <w:rtl/>
        </w:rPr>
        <w:t xml:space="preserve"> از فردگرایی </w:t>
      </w:r>
      <w:r w:rsidR="009D13FB">
        <w:rPr>
          <w:rFonts w:cs="B Roya" w:hint="cs"/>
          <w:sz w:val="28"/>
          <w:szCs w:val="28"/>
          <w:rtl/>
        </w:rPr>
        <w:t>روش‌شناختی</w:t>
      </w:r>
      <w:r w:rsidR="00BE6BC8" w:rsidRPr="00BE6BC8">
        <w:rPr>
          <w:rFonts w:cs="B Roya" w:hint="cs"/>
          <w:sz w:val="28"/>
          <w:szCs w:val="28"/>
          <w:rtl/>
        </w:rPr>
        <w:t>، مطالعات ساختاری را نیز در این زمینه توجیه‌پذیر می‌داند</w:t>
      </w:r>
      <w:r w:rsidR="00C2582D">
        <w:rPr>
          <w:rFonts w:cs="B Roya" w:hint="cs"/>
          <w:sz w:val="28"/>
          <w:szCs w:val="28"/>
          <w:rtl/>
        </w:rPr>
        <w:t>.</w:t>
      </w:r>
    </w:p>
    <w:p w14:paraId="00F6C1A1" w14:textId="305D8024" w:rsidR="00D23074" w:rsidRPr="00CA495D" w:rsidRDefault="00D23074" w:rsidP="00BE6BC8">
      <w:pPr>
        <w:spacing w:line="240" w:lineRule="auto"/>
        <w:jc w:val="both"/>
        <w:rPr>
          <w:rFonts w:cs="B Roya"/>
          <w:sz w:val="28"/>
          <w:szCs w:val="28"/>
          <w:rtl/>
        </w:rPr>
      </w:pPr>
      <w:r w:rsidRPr="00CA495D">
        <w:rPr>
          <w:rFonts w:cs="B Roya" w:hint="cs"/>
          <w:b/>
          <w:bCs/>
          <w:sz w:val="28"/>
          <w:szCs w:val="28"/>
          <w:rtl/>
        </w:rPr>
        <w:t>واژگان کلیدی:</w:t>
      </w:r>
      <w:r w:rsidRPr="00CA495D">
        <w:rPr>
          <w:rFonts w:cs="B Roya" w:hint="cs"/>
          <w:sz w:val="28"/>
          <w:szCs w:val="28"/>
          <w:rtl/>
        </w:rPr>
        <w:t xml:space="preserve"> </w:t>
      </w:r>
      <w:r w:rsidR="009D13FB">
        <w:rPr>
          <w:rFonts w:cs="B Roya"/>
          <w:sz w:val="28"/>
          <w:szCs w:val="28"/>
          <w:rtl/>
        </w:rPr>
        <w:t>فردگرا</w:t>
      </w:r>
      <w:r w:rsidR="009D13FB">
        <w:rPr>
          <w:rFonts w:cs="B Roya" w:hint="cs"/>
          <w:sz w:val="28"/>
          <w:szCs w:val="28"/>
          <w:rtl/>
        </w:rPr>
        <w:t>یی</w:t>
      </w:r>
      <w:r w:rsidR="00BE6BC8" w:rsidRPr="00BE6BC8">
        <w:rPr>
          <w:rFonts w:cs="B Roya" w:hint="cs"/>
          <w:sz w:val="28"/>
          <w:szCs w:val="28"/>
          <w:rtl/>
        </w:rPr>
        <w:t xml:space="preserve">، </w:t>
      </w:r>
      <w:r w:rsidR="009D13FB">
        <w:rPr>
          <w:rFonts w:cs="B Roya"/>
          <w:sz w:val="28"/>
          <w:szCs w:val="28"/>
          <w:rtl/>
        </w:rPr>
        <w:t>جمع‌گرا</w:t>
      </w:r>
      <w:r w:rsidR="009D13FB">
        <w:rPr>
          <w:rFonts w:cs="B Roya" w:hint="cs"/>
          <w:sz w:val="28"/>
          <w:szCs w:val="28"/>
          <w:rtl/>
        </w:rPr>
        <w:t>یی</w:t>
      </w:r>
      <w:r w:rsidR="00BE6BC8" w:rsidRPr="00BE6BC8">
        <w:rPr>
          <w:rFonts w:cs="B Roya" w:hint="cs"/>
          <w:sz w:val="28"/>
          <w:szCs w:val="28"/>
          <w:rtl/>
        </w:rPr>
        <w:t>، عاملیت، ساختار، روش‌شناسی</w:t>
      </w:r>
    </w:p>
    <w:sectPr w:rsidR="00D23074" w:rsidRPr="00CA495D" w:rsidSect="00B62680">
      <w:pgSz w:w="11906" w:h="16838"/>
      <w:pgMar w:top="1440" w:right="1440" w:bottom="1440" w:left="1440" w:header="708" w:footer="708" w:gutter="0"/>
      <w:cols w:space="708"/>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E5B38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4EF1ED" w14:textId="77777777" w:rsidR="006D1111" w:rsidRDefault="006D1111" w:rsidP="00874DF6">
      <w:pPr>
        <w:spacing w:after="0" w:line="240" w:lineRule="auto"/>
      </w:pPr>
      <w:r>
        <w:separator/>
      </w:r>
    </w:p>
  </w:endnote>
  <w:endnote w:type="continuationSeparator" w:id="0">
    <w:p w14:paraId="2A7C01C0" w14:textId="77777777" w:rsidR="006D1111" w:rsidRDefault="006D1111" w:rsidP="00874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 Roy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26B46F" w14:textId="77777777" w:rsidR="006D1111" w:rsidRDefault="006D1111" w:rsidP="00874DF6">
      <w:pPr>
        <w:spacing w:after="0" w:line="240" w:lineRule="auto"/>
      </w:pPr>
      <w:r>
        <w:separator/>
      </w:r>
    </w:p>
  </w:footnote>
  <w:footnote w:type="continuationSeparator" w:id="0">
    <w:p w14:paraId="7CC596FB" w14:textId="77777777" w:rsidR="006D1111" w:rsidRDefault="006D1111" w:rsidP="00874DF6">
      <w:pPr>
        <w:spacing w:after="0" w:line="240" w:lineRule="auto"/>
      </w:pPr>
      <w:r>
        <w:continuationSeparator/>
      </w:r>
    </w:p>
  </w:footnote>
  <w:footnote w:id="1">
    <w:p w14:paraId="46EA3EC6" w14:textId="48E20DF2" w:rsidR="00874DF6" w:rsidRPr="00874DF6" w:rsidRDefault="00874DF6" w:rsidP="00BE6BC8">
      <w:pPr>
        <w:pStyle w:val="FootnoteText"/>
        <w:rPr>
          <w:rFonts w:cs="B Roya"/>
        </w:rPr>
      </w:pPr>
      <w:r w:rsidRPr="00874DF6">
        <w:rPr>
          <w:rStyle w:val="FootnoteReference"/>
          <w:rFonts w:cs="B Roya"/>
        </w:rPr>
        <w:footnoteRef/>
      </w:r>
      <w:r w:rsidRPr="00874DF6">
        <w:rPr>
          <w:rFonts w:cs="B Roya"/>
          <w:rtl/>
        </w:rPr>
        <w:t xml:space="preserve"> </w:t>
      </w:r>
      <w:r w:rsidR="00BE6BC8">
        <w:rPr>
          <w:rFonts w:cs="B Roya" w:hint="cs"/>
          <w:rtl/>
        </w:rPr>
        <w:t>استادیار</w:t>
      </w:r>
      <w:r w:rsidRPr="00874DF6">
        <w:rPr>
          <w:rFonts w:cs="B Roya" w:hint="cs"/>
          <w:rtl/>
        </w:rPr>
        <w:t xml:space="preserve"> موسسه آموزشی و پژوهشی امام خمینی (ره)</w:t>
      </w:r>
      <w:r>
        <w:rPr>
          <w:rFonts w:cs="B Roya" w:hint="cs"/>
          <w:rtl/>
        </w:rPr>
        <w:t xml:space="preserve"> </w:t>
      </w:r>
      <w:r>
        <w:rPr>
          <w:rFonts w:cs="Times New Roman" w:hint="cs"/>
          <w:rtl/>
        </w:rPr>
        <w:t>[</w:t>
      </w:r>
      <w:r w:rsidRPr="00874DF6">
        <w:rPr>
          <w:rFonts w:cs="B Roya"/>
        </w:rPr>
        <w:t>https://asatid.iki.ac.ir/?prof=</w:t>
      </w:r>
      <w:r w:rsidR="00BE6BC8">
        <w:rPr>
          <w:rFonts w:cs="B Roya"/>
        </w:rPr>
        <w:t>1801</w:t>
      </w:r>
      <w:r>
        <w:rPr>
          <w:rFonts w:cs="B Roya" w:hint="cs"/>
          <w:rtl/>
        </w:rPr>
        <w:t>].</w:t>
      </w:r>
      <w:r w:rsidRPr="00874DF6">
        <w:rPr>
          <w:rFonts w:cs="B Roya"/>
        </w:rPr>
        <w:c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IXEL">
    <w15:presenceInfo w15:providerId="None" w15:userId="PIX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8AA"/>
    <w:rsid w:val="0008769F"/>
    <w:rsid w:val="000E06F1"/>
    <w:rsid w:val="0010363E"/>
    <w:rsid w:val="0017758C"/>
    <w:rsid w:val="00335346"/>
    <w:rsid w:val="004304C3"/>
    <w:rsid w:val="00537B27"/>
    <w:rsid w:val="005564CC"/>
    <w:rsid w:val="005931DC"/>
    <w:rsid w:val="005D6B94"/>
    <w:rsid w:val="0064011F"/>
    <w:rsid w:val="006D1111"/>
    <w:rsid w:val="006F39B5"/>
    <w:rsid w:val="007B3784"/>
    <w:rsid w:val="007E094B"/>
    <w:rsid w:val="00874DF6"/>
    <w:rsid w:val="008758AA"/>
    <w:rsid w:val="00904705"/>
    <w:rsid w:val="009D13FB"/>
    <w:rsid w:val="00A837F8"/>
    <w:rsid w:val="00B23FAB"/>
    <w:rsid w:val="00B344B3"/>
    <w:rsid w:val="00B62680"/>
    <w:rsid w:val="00BE6BC8"/>
    <w:rsid w:val="00C2582D"/>
    <w:rsid w:val="00C861DD"/>
    <w:rsid w:val="00CA495D"/>
    <w:rsid w:val="00D15BB5"/>
    <w:rsid w:val="00D23074"/>
    <w:rsid w:val="00E9665A"/>
    <w:rsid w:val="00F21B5A"/>
    <w:rsid w:val="00FC305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1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74D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4DF6"/>
    <w:rPr>
      <w:sz w:val="20"/>
      <w:szCs w:val="20"/>
    </w:rPr>
  </w:style>
  <w:style w:type="character" w:styleId="FootnoteReference">
    <w:name w:val="footnote reference"/>
    <w:basedOn w:val="DefaultParagraphFont"/>
    <w:uiPriority w:val="99"/>
    <w:semiHidden/>
    <w:unhideWhenUsed/>
    <w:rsid w:val="00874DF6"/>
    <w:rPr>
      <w:vertAlign w:val="superscript"/>
    </w:rPr>
  </w:style>
  <w:style w:type="character" w:styleId="Hyperlink">
    <w:name w:val="Hyperlink"/>
    <w:basedOn w:val="DefaultParagraphFont"/>
    <w:uiPriority w:val="99"/>
    <w:unhideWhenUsed/>
    <w:rsid w:val="00874DF6"/>
    <w:rPr>
      <w:color w:val="0000FF" w:themeColor="hyperlink"/>
      <w:u w:val="single"/>
    </w:rPr>
  </w:style>
  <w:style w:type="character" w:styleId="CommentReference">
    <w:name w:val="annotation reference"/>
    <w:basedOn w:val="DefaultParagraphFont"/>
    <w:uiPriority w:val="99"/>
    <w:semiHidden/>
    <w:unhideWhenUsed/>
    <w:rsid w:val="006F39B5"/>
    <w:rPr>
      <w:sz w:val="16"/>
      <w:szCs w:val="16"/>
    </w:rPr>
  </w:style>
  <w:style w:type="paragraph" w:styleId="CommentText">
    <w:name w:val="annotation text"/>
    <w:basedOn w:val="Normal"/>
    <w:link w:val="CommentTextChar"/>
    <w:uiPriority w:val="99"/>
    <w:semiHidden/>
    <w:unhideWhenUsed/>
    <w:rsid w:val="006F39B5"/>
    <w:pPr>
      <w:spacing w:line="240" w:lineRule="auto"/>
    </w:pPr>
    <w:rPr>
      <w:sz w:val="20"/>
      <w:szCs w:val="20"/>
    </w:rPr>
  </w:style>
  <w:style w:type="character" w:customStyle="1" w:styleId="CommentTextChar">
    <w:name w:val="Comment Text Char"/>
    <w:basedOn w:val="DefaultParagraphFont"/>
    <w:link w:val="CommentText"/>
    <w:uiPriority w:val="99"/>
    <w:semiHidden/>
    <w:rsid w:val="006F39B5"/>
    <w:rPr>
      <w:sz w:val="20"/>
      <w:szCs w:val="20"/>
    </w:rPr>
  </w:style>
  <w:style w:type="paragraph" w:styleId="CommentSubject">
    <w:name w:val="annotation subject"/>
    <w:basedOn w:val="CommentText"/>
    <w:next w:val="CommentText"/>
    <w:link w:val="CommentSubjectChar"/>
    <w:uiPriority w:val="99"/>
    <w:semiHidden/>
    <w:unhideWhenUsed/>
    <w:rsid w:val="006F39B5"/>
    <w:rPr>
      <w:b/>
      <w:bCs/>
    </w:rPr>
  </w:style>
  <w:style w:type="character" w:customStyle="1" w:styleId="CommentSubjectChar">
    <w:name w:val="Comment Subject Char"/>
    <w:basedOn w:val="CommentTextChar"/>
    <w:link w:val="CommentSubject"/>
    <w:uiPriority w:val="99"/>
    <w:semiHidden/>
    <w:rsid w:val="006F39B5"/>
    <w:rPr>
      <w:b/>
      <w:bCs/>
      <w:sz w:val="20"/>
      <w:szCs w:val="20"/>
    </w:rPr>
  </w:style>
  <w:style w:type="paragraph" w:styleId="BalloonText">
    <w:name w:val="Balloon Text"/>
    <w:basedOn w:val="Normal"/>
    <w:link w:val="BalloonTextChar"/>
    <w:uiPriority w:val="99"/>
    <w:semiHidden/>
    <w:unhideWhenUsed/>
    <w:rsid w:val="006F39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9B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74D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4DF6"/>
    <w:rPr>
      <w:sz w:val="20"/>
      <w:szCs w:val="20"/>
    </w:rPr>
  </w:style>
  <w:style w:type="character" w:styleId="FootnoteReference">
    <w:name w:val="footnote reference"/>
    <w:basedOn w:val="DefaultParagraphFont"/>
    <w:uiPriority w:val="99"/>
    <w:semiHidden/>
    <w:unhideWhenUsed/>
    <w:rsid w:val="00874DF6"/>
    <w:rPr>
      <w:vertAlign w:val="superscript"/>
    </w:rPr>
  </w:style>
  <w:style w:type="character" w:styleId="Hyperlink">
    <w:name w:val="Hyperlink"/>
    <w:basedOn w:val="DefaultParagraphFont"/>
    <w:uiPriority w:val="99"/>
    <w:unhideWhenUsed/>
    <w:rsid w:val="00874DF6"/>
    <w:rPr>
      <w:color w:val="0000FF" w:themeColor="hyperlink"/>
      <w:u w:val="single"/>
    </w:rPr>
  </w:style>
  <w:style w:type="character" w:styleId="CommentReference">
    <w:name w:val="annotation reference"/>
    <w:basedOn w:val="DefaultParagraphFont"/>
    <w:uiPriority w:val="99"/>
    <w:semiHidden/>
    <w:unhideWhenUsed/>
    <w:rsid w:val="006F39B5"/>
    <w:rPr>
      <w:sz w:val="16"/>
      <w:szCs w:val="16"/>
    </w:rPr>
  </w:style>
  <w:style w:type="paragraph" w:styleId="CommentText">
    <w:name w:val="annotation text"/>
    <w:basedOn w:val="Normal"/>
    <w:link w:val="CommentTextChar"/>
    <w:uiPriority w:val="99"/>
    <w:semiHidden/>
    <w:unhideWhenUsed/>
    <w:rsid w:val="006F39B5"/>
    <w:pPr>
      <w:spacing w:line="240" w:lineRule="auto"/>
    </w:pPr>
    <w:rPr>
      <w:sz w:val="20"/>
      <w:szCs w:val="20"/>
    </w:rPr>
  </w:style>
  <w:style w:type="character" w:customStyle="1" w:styleId="CommentTextChar">
    <w:name w:val="Comment Text Char"/>
    <w:basedOn w:val="DefaultParagraphFont"/>
    <w:link w:val="CommentText"/>
    <w:uiPriority w:val="99"/>
    <w:semiHidden/>
    <w:rsid w:val="006F39B5"/>
    <w:rPr>
      <w:sz w:val="20"/>
      <w:szCs w:val="20"/>
    </w:rPr>
  </w:style>
  <w:style w:type="paragraph" w:styleId="CommentSubject">
    <w:name w:val="annotation subject"/>
    <w:basedOn w:val="CommentText"/>
    <w:next w:val="CommentText"/>
    <w:link w:val="CommentSubjectChar"/>
    <w:uiPriority w:val="99"/>
    <w:semiHidden/>
    <w:unhideWhenUsed/>
    <w:rsid w:val="006F39B5"/>
    <w:rPr>
      <w:b/>
      <w:bCs/>
    </w:rPr>
  </w:style>
  <w:style w:type="character" w:customStyle="1" w:styleId="CommentSubjectChar">
    <w:name w:val="Comment Subject Char"/>
    <w:basedOn w:val="CommentTextChar"/>
    <w:link w:val="CommentSubject"/>
    <w:uiPriority w:val="99"/>
    <w:semiHidden/>
    <w:rsid w:val="006F39B5"/>
    <w:rPr>
      <w:b/>
      <w:bCs/>
      <w:sz w:val="20"/>
      <w:szCs w:val="20"/>
    </w:rPr>
  </w:style>
  <w:style w:type="paragraph" w:styleId="BalloonText">
    <w:name w:val="Balloon Text"/>
    <w:basedOn w:val="Normal"/>
    <w:link w:val="BalloonTextChar"/>
    <w:uiPriority w:val="99"/>
    <w:semiHidden/>
    <w:unhideWhenUsed/>
    <w:rsid w:val="006F39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9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823A538-20FF-4CB3-BB4F-DDBE21641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naderi</dc:creator>
  <cp:lastModifiedBy>E.N.</cp:lastModifiedBy>
  <cp:revision>3</cp:revision>
  <dcterms:created xsi:type="dcterms:W3CDTF">2021-12-02T15:58:00Z</dcterms:created>
  <dcterms:modified xsi:type="dcterms:W3CDTF">2021-12-02T16:11:00Z</dcterms:modified>
</cp:coreProperties>
</file>