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3FE6B1DB" w:rsidR="004304C3" w:rsidRPr="00365520" w:rsidRDefault="00365520" w:rsidP="00D1547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بیست و </w:t>
      </w:r>
      <w:r w:rsidR="00D15473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هفتمین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6B694621" w14:textId="7DF1CD34" w:rsidR="004304C3" w:rsidRPr="008279C1" w:rsidRDefault="00072849" w:rsidP="00D1547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روش‌شناس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 w:rsidR="00D15473" w:rsidRPr="00D15473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علوم انسانی اسلامی با 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تک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ه‌بر</w:t>
      </w:r>
      <w:r w:rsidR="00D15473" w:rsidRPr="00D15473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دیدگاه 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آ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ت‌الله</w:t>
      </w:r>
      <w:r w:rsidR="00D15473" w:rsidRPr="00D15473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مصباح یزدی (ره)</w:t>
      </w:r>
      <w:r w:rsidR="00D15473" w:rsidRPr="00D15473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br/>
      </w:r>
      <w:hyperlink r:id="rId9" w:history="1">
        <w:r w:rsidR="00D15473" w:rsidRPr="00D15473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علی مصباح</w:t>
        </w:r>
      </w:hyperlink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36580BFD" w14:textId="544A5FB5" w:rsidR="00D15473" w:rsidRPr="00D15473" w:rsidRDefault="00072849" w:rsidP="00D15473">
      <w:pPr>
        <w:spacing w:line="240" w:lineRule="auto"/>
        <w:jc w:val="both"/>
        <w:rPr>
          <w:rFonts w:cs="B Roya"/>
          <w:b/>
          <w:bCs/>
          <w:sz w:val="28"/>
          <w:szCs w:val="28"/>
        </w:rPr>
      </w:pPr>
      <w:r>
        <w:rPr>
          <w:rFonts w:cs="B Roya" w:hint="cs"/>
          <w:sz w:val="28"/>
          <w:szCs w:val="28"/>
          <w:rtl/>
        </w:rPr>
        <w:t>آیت‌الله</w:t>
      </w:r>
      <w:r w:rsidR="00D15473" w:rsidRPr="00D15473">
        <w:rPr>
          <w:rFonts w:cs="B Roya" w:hint="cs"/>
          <w:sz w:val="28"/>
          <w:szCs w:val="28"/>
          <w:rtl/>
        </w:rPr>
        <w:t xml:space="preserve"> مصباح </w:t>
      </w:r>
      <w:r>
        <w:rPr>
          <w:rFonts w:cs="B Roya" w:hint="cs"/>
          <w:sz w:val="28"/>
          <w:szCs w:val="28"/>
          <w:vertAlign w:val="superscript"/>
          <w:rtl/>
        </w:rPr>
        <w:t>رضوان‌الله</w:t>
      </w:r>
      <w:r w:rsidR="00D15473" w:rsidRPr="00D15473">
        <w:rPr>
          <w:rFonts w:cs="B Roya" w:hint="cs"/>
          <w:sz w:val="28"/>
          <w:szCs w:val="28"/>
          <w:vertAlign w:val="superscript"/>
          <w:rtl/>
        </w:rPr>
        <w:t xml:space="preserve"> تعالی علیه</w:t>
      </w:r>
      <w:r w:rsidR="00D15473" w:rsidRPr="00D15473">
        <w:rPr>
          <w:rFonts w:cs="B Roya" w:hint="cs"/>
          <w:sz w:val="28"/>
          <w:szCs w:val="28"/>
          <w:rtl/>
        </w:rPr>
        <w:t xml:space="preserve"> علوم انسانی را به معنای «مجموعه‌ای از علوم که به شناخت انسان</w:t>
      </w:r>
      <w:r>
        <w:rPr>
          <w:rFonts w:cs="B Roya"/>
          <w:sz w:val="28"/>
          <w:szCs w:val="28"/>
          <w:rtl/>
        </w:rPr>
        <w:t xml:space="preserve"> </w:t>
      </w:r>
      <w:r w:rsidR="00D15473" w:rsidRPr="00D15473">
        <w:rPr>
          <w:rFonts w:cs="B Roya" w:hint="cs"/>
          <w:sz w:val="28"/>
          <w:szCs w:val="28"/>
          <w:rtl/>
        </w:rPr>
        <w:t>و توصیف، تبیین</w:t>
      </w:r>
      <w:r>
        <w:rPr>
          <w:rFonts w:cs="B Roya"/>
          <w:sz w:val="28"/>
          <w:szCs w:val="28"/>
          <w:rtl/>
        </w:rPr>
        <w:t xml:space="preserve"> </w:t>
      </w:r>
      <w:r w:rsidR="00D15473" w:rsidRPr="00D15473">
        <w:rPr>
          <w:rFonts w:cs="B Roya" w:hint="cs"/>
          <w:sz w:val="28"/>
          <w:szCs w:val="28"/>
          <w:rtl/>
        </w:rPr>
        <w:t>و تفسیر پدیده‌های فردی و اجتماعی (</w:t>
      </w:r>
      <w:r>
        <w:rPr>
          <w:rFonts w:cs="B Roya" w:hint="cs"/>
          <w:sz w:val="28"/>
          <w:szCs w:val="28"/>
          <w:rtl/>
        </w:rPr>
        <w:t>ازآن‌جهت</w:t>
      </w:r>
      <w:r w:rsidR="00D15473" w:rsidRPr="00D15473">
        <w:rPr>
          <w:rFonts w:cs="B Roya" w:hint="cs"/>
          <w:sz w:val="28"/>
          <w:szCs w:val="28"/>
          <w:rtl/>
        </w:rPr>
        <w:t xml:space="preserve"> که انسانی‌اند)</w:t>
      </w:r>
      <w:bookmarkStart w:id="0" w:name="_GoBack"/>
      <w:bookmarkEnd w:id="0"/>
      <w:r>
        <w:rPr>
          <w:rFonts w:cs="B Roya"/>
          <w:sz w:val="28"/>
          <w:szCs w:val="28"/>
          <w:rtl/>
        </w:rPr>
        <w:t xml:space="preserve"> </w:t>
      </w:r>
      <w:r w:rsidR="00D15473" w:rsidRPr="00D15473">
        <w:rPr>
          <w:rFonts w:cs="B Roya" w:hint="cs"/>
          <w:sz w:val="28"/>
          <w:szCs w:val="28"/>
          <w:rtl/>
        </w:rPr>
        <w:t xml:space="preserve">و جهت‌دهی به افعال و انفعالات انسانی می‌پردازند» تعریف می‌کند. همچنین وی برای </w:t>
      </w:r>
      <w:r>
        <w:rPr>
          <w:rFonts w:cs="B Roya" w:hint="cs"/>
          <w:sz w:val="28"/>
          <w:szCs w:val="28"/>
          <w:rtl/>
        </w:rPr>
        <w:t>آن‌که</w:t>
      </w:r>
      <w:r w:rsidR="00D15473" w:rsidRPr="00D15473">
        <w:rPr>
          <w:rFonts w:cs="B Roya" w:hint="cs"/>
          <w:sz w:val="28"/>
          <w:szCs w:val="28"/>
          <w:rtl/>
        </w:rPr>
        <w:t xml:space="preserve"> علمی به «</w:t>
      </w:r>
      <w:r>
        <w:rPr>
          <w:rFonts w:cs="B Roya"/>
          <w:sz w:val="28"/>
          <w:szCs w:val="28"/>
          <w:rtl/>
        </w:rPr>
        <w:t>اسلام</w:t>
      </w:r>
      <w:r>
        <w:rPr>
          <w:rFonts w:cs="B Roya" w:hint="cs"/>
          <w:sz w:val="28"/>
          <w:szCs w:val="28"/>
          <w:rtl/>
        </w:rPr>
        <w:t>ی</w:t>
      </w:r>
      <w:r w:rsidR="00D15473" w:rsidRPr="00D15473">
        <w:rPr>
          <w:rFonts w:cs="B Roya" w:hint="cs"/>
          <w:sz w:val="28"/>
          <w:szCs w:val="28"/>
          <w:rtl/>
        </w:rPr>
        <w:t>» بودن متصف شود، شرایطی چون سازگاری با مبانی تفکر اسلامی را ضروری می‌شمارد. این مبانی شامل مبانی هستی‌شناختی، الهیاتی، معرفت‌شناختی، روش‌شناختی، ارزش‌شناختی</w:t>
      </w:r>
      <w:r>
        <w:rPr>
          <w:rFonts w:cs="B Roya"/>
          <w:sz w:val="28"/>
          <w:szCs w:val="28"/>
          <w:rtl/>
        </w:rPr>
        <w:t xml:space="preserve"> </w:t>
      </w:r>
      <w:r w:rsidR="00D15473" w:rsidRPr="00D15473">
        <w:rPr>
          <w:rFonts w:cs="B Roya" w:hint="cs"/>
          <w:sz w:val="28"/>
          <w:szCs w:val="28"/>
          <w:rtl/>
        </w:rPr>
        <w:t xml:space="preserve">و غایت‌شناختی </w:t>
      </w:r>
      <w:r>
        <w:rPr>
          <w:rFonts w:cs="B Roy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>ی‌</w:t>
      </w:r>
      <w:r>
        <w:rPr>
          <w:rFonts w:cs="B Roya" w:hint="eastAsia"/>
          <w:sz w:val="28"/>
          <w:szCs w:val="28"/>
          <w:rtl/>
        </w:rPr>
        <w:t>شود</w:t>
      </w:r>
      <w:r w:rsidR="00D15473" w:rsidRPr="00D15473">
        <w:rPr>
          <w:rFonts w:cs="B Roya" w:hint="cs"/>
          <w:sz w:val="28"/>
          <w:szCs w:val="28"/>
          <w:rtl/>
        </w:rPr>
        <w:t>.</w:t>
      </w:r>
    </w:p>
    <w:p w14:paraId="41887C65" w14:textId="72A6FF4B" w:rsidR="00365520" w:rsidRPr="00EF67A7" w:rsidRDefault="00D15473" w:rsidP="00D15473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D15473">
        <w:rPr>
          <w:rFonts w:cs="B Roya" w:hint="cs"/>
          <w:sz w:val="28"/>
          <w:szCs w:val="28"/>
          <w:rtl/>
        </w:rPr>
        <w:t>بر اساس تعاریف مذکور، موضوع علوم انسانی عبارت است از افعال و انفعالات انسان</w:t>
      </w:r>
      <w:r w:rsidR="00072849">
        <w:rPr>
          <w:rFonts w:cs="B Roya"/>
          <w:sz w:val="28"/>
          <w:szCs w:val="28"/>
          <w:rtl/>
        </w:rPr>
        <w:t xml:space="preserve"> </w:t>
      </w:r>
      <w:r w:rsidRPr="00D15473">
        <w:rPr>
          <w:rFonts w:cs="B Roya" w:hint="cs"/>
          <w:sz w:val="28"/>
          <w:szCs w:val="28"/>
          <w:rtl/>
        </w:rPr>
        <w:t xml:space="preserve">و هدف </w:t>
      </w:r>
      <w:r w:rsidR="00072849">
        <w:rPr>
          <w:rFonts w:cs="B Roya" w:hint="cs"/>
          <w:sz w:val="28"/>
          <w:szCs w:val="28"/>
          <w:rtl/>
        </w:rPr>
        <w:t>آن‌ها</w:t>
      </w:r>
      <w:r w:rsidRPr="00D15473">
        <w:rPr>
          <w:rFonts w:cs="B Roya" w:hint="cs"/>
          <w:sz w:val="28"/>
          <w:szCs w:val="28"/>
          <w:rtl/>
        </w:rPr>
        <w:t xml:space="preserve"> عبارت است از: توصیف، تبیین، تفسیر</w:t>
      </w:r>
      <w:r w:rsidR="00072849">
        <w:rPr>
          <w:rFonts w:cs="B Roya"/>
          <w:sz w:val="28"/>
          <w:szCs w:val="28"/>
          <w:rtl/>
        </w:rPr>
        <w:t xml:space="preserve"> </w:t>
      </w:r>
      <w:r w:rsidRPr="00D15473">
        <w:rPr>
          <w:rFonts w:cs="B Roya" w:hint="cs"/>
          <w:sz w:val="28"/>
          <w:szCs w:val="28"/>
          <w:rtl/>
        </w:rPr>
        <w:t xml:space="preserve">و جهت‌دهی. با </w:t>
      </w:r>
      <w:r w:rsidR="00072849">
        <w:rPr>
          <w:rFonts w:cs="B Roya" w:hint="cs"/>
          <w:sz w:val="28"/>
          <w:szCs w:val="28"/>
          <w:rtl/>
        </w:rPr>
        <w:t>در نظر</w:t>
      </w:r>
      <w:r w:rsidRPr="00D15473">
        <w:rPr>
          <w:rFonts w:cs="B Roya" w:hint="cs"/>
          <w:sz w:val="28"/>
          <w:szCs w:val="28"/>
          <w:rtl/>
        </w:rPr>
        <w:t xml:space="preserve"> گرفتن تنوع موضوعات این علوم</w:t>
      </w:r>
      <w:r w:rsidR="00072849">
        <w:rPr>
          <w:rFonts w:cs="B Roya"/>
          <w:sz w:val="28"/>
          <w:szCs w:val="28"/>
          <w:rtl/>
        </w:rPr>
        <w:t xml:space="preserve"> </w:t>
      </w:r>
      <w:r w:rsidRPr="00D15473">
        <w:rPr>
          <w:rFonts w:cs="B Roya" w:hint="cs"/>
          <w:sz w:val="28"/>
          <w:szCs w:val="28"/>
          <w:rtl/>
        </w:rPr>
        <w:t xml:space="preserve">و اهداف گوناگون </w:t>
      </w:r>
      <w:r w:rsidR="00072849">
        <w:rPr>
          <w:rFonts w:cs="B Roya" w:hint="cs"/>
          <w:sz w:val="28"/>
          <w:szCs w:val="28"/>
          <w:rtl/>
        </w:rPr>
        <w:t>آن‌ها</w:t>
      </w:r>
      <w:r w:rsidRPr="00D15473">
        <w:rPr>
          <w:rFonts w:cs="B Roya" w:hint="cs"/>
          <w:sz w:val="28"/>
          <w:szCs w:val="28"/>
          <w:rtl/>
        </w:rPr>
        <w:t xml:space="preserve">، پیش‌بینی تعدد روش‌های این علوم نیز کاملاً منطقی است. این مقاله، بر مبنای اهداف علوم انسانی </w:t>
      </w:r>
      <w:r w:rsidR="00072849">
        <w:rPr>
          <w:rFonts w:cs="B Roya" w:hint="cs"/>
          <w:sz w:val="28"/>
          <w:szCs w:val="28"/>
          <w:rtl/>
        </w:rPr>
        <w:t>به‌پیش</w:t>
      </w:r>
      <w:r w:rsidRPr="00D15473">
        <w:rPr>
          <w:rFonts w:cs="B Roya" w:hint="cs"/>
          <w:sz w:val="28"/>
          <w:szCs w:val="28"/>
          <w:rtl/>
        </w:rPr>
        <w:t xml:space="preserve"> می‌رود</w:t>
      </w:r>
      <w:r w:rsidR="00072849">
        <w:rPr>
          <w:rFonts w:cs="B Roya"/>
          <w:sz w:val="28"/>
          <w:szCs w:val="28"/>
          <w:rtl/>
        </w:rPr>
        <w:t xml:space="preserve"> </w:t>
      </w:r>
      <w:r w:rsidRPr="00D15473">
        <w:rPr>
          <w:rFonts w:cs="B Roya" w:hint="cs"/>
          <w:sz w:val="28"/>
          <w:szCs w:val="28"/>
          <w:rtl/>
        </w:rPr>
        <w:t xml:space="preserve">و با استفاده از روش تحلیل منطقی، سعی می‌کند لوازم منطقی مطالعه موضوعات و مفاهیمی که در این علوم به‌کارگرفته می‌شوند را استخراج کند تا </w:t>
      </w:r>
      <w:r w:rsidR="00072849">
        <w:rPr>
          <w:rFonts w:cs="B Roya" w:hint="cs"/>
          <w:sz w:val="28"/>
          <w:szCs w:val="28"/>
          <w:rtl/>
        </w:rPr>
        <w:t>استلزامات</w:t>
      </w:r>
      <w:r w:rsidRPr="00D15473">
        <w:rPr>
          <w:rFonts w:cs="B Roya" w:hint="cs"/>
          <w:sz w:val="28"/>
          <w:szCs w:val="28"/>
          <w:rtl/>
        </w:rPr>
        <w:t xml:space="preserve"> روش‌شناختی </w:t>
      </w:r>
      <w:r w:rsidR="00072849">
        <w:rPr>
          <w:rFonts w:cs="B Roya" w:hint="cs"/>
          <w:sz w:val="28"/>
          <w:szCs w:val="28"/>
          <w:rtl/>
        </w:rPr>
        <w:t>آن‌ها</w:t>
      </w:r>
      <w:r w:rsidRPr="00D15473">
        <w:rPr>
          <w:rFonts w:cs="B Roya" w:hint="cs"/>
          <w:sz w:val="28"/>
          <w:szCs w:val="28"/>
          <w:rtl/>
        </w:rPr>
        <w:t xml:space="preserve"> را بر اساس </w:t>
      </w:r>
      <w:r w:rsidR="00072849">
        <w:rPr>
          <w:rFonts w:cs="B Roya"/>
          <w:sz w:val="28"/>
          <w:szCs w:val="28"/>
          <w:rtl/>
        </w:rPr>
        <w:t>نظر</w:t>
      </w:r>
      <w:r w:rsidR="00072849">
        <w:rPr>
          <w:rFonts w:cs="B Roya" w:hint="cs"/>
          <w:sz w:val="28"/>
          <w:szCs w:val="28"/>
          <w:rtl/>
        </w:rPr>
        <w:t>ی</w:t>
      </w:r>
      <w:r w:rsidR="00072849">
        <w:rPr>
          <w:rFonts w:cs="B Roya" w:hint="eastAsia"/>
          <w:sz w:val="28"/>
          <w:szCs w:val="28"/>
          <w:rtl/>
        </w:rPr>
        <w:t>ه</w:t>
      </w:r>
      <w:r w:rsidRPr="00D15473">
        <w:rPr>
          <w:rFonts w:cs="B Roya" w:hint="cs"/>
          <w:sz w:val="28"/>
          <w:szCs w:val="28"/>
          <w:rtl/>
        </w:rPr>
        <w:t xml:space="preserve"> حضرت </w:t>
      </w:r>
      <w:r w:rsidR="00072849">
        <w:rPr>
          <w:rFonts w:cs="B Roya" w:hint="cs"/>
          <w:sz w:val="28"/>
          <w:szCs w:val="28"/>
          <w:rtl/>
        </w:rPr>
        <w:t>آیت‌الله</w:t>
      </w:r>
      <w:r w:rsidRPr="00D15473">
        <w:rPr>
          <w:rFonts w:cs="B Roya" w:hint="cs"/>
          <w:sz w:val="28"/>
          <w:szCs w:val="28"/>
          <w:rtl/>
        </w:rPr>
        <w:t xml:space="preserve"> علامه مصباح </w:t>
      </w:r>
      <w:r w:rsidRPr="00D15473">
        <w:rPr>
          <w:rFonts w:cs="B Roya" w:hint="cs"/>
          <w:sz w:val="28"/>
          <w:szCs w:val="28"/>
          <w:vertAlign w:val="superscript"/>
          <w:rtl/>
        </w:rPr>
        <w:t>رضوان‌الله‌علیه</w:t>
      </w:r>
      <w:r w:rsidRPr="00D15473">
        <w:rPr>
          <w:rFonts w:cs="B Roya" w:hint="cs"/>
          <w:sz w:val="28"/>
          <w:szCs w:val="28"/>
          <w:rtl/>
        </w:rPr>
        <w:t xml:space="preserve"> بررسی نماید.</w:t>
      </w:r>
    </w:p>
    <w:p w14:paraId="00F6C1A1" w14:textId="2D03B07D" w:rsidR="00D23074" w:rsidRPr="00A603FD" w:rsidRDefault="00D23074" w:rsidP="00D15473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Pr="00CA495D">
        <w:rPr>
          <w:rFonts w:cs="B Roya" w:hint="cs"/>
          <w:sz w:val="28"/>
          <w:szCs w:val="28"/>
          <w:rtl/>
        </w:rPr>
        <w:t xml:space="preserve"> </w:t>
      </w:r>
      <w:r w:rsidR="00072849">
        <w:rPr>
          <w:rFonts w:cs="B Roya" w:hint="cs"/>
          <w:sz w:val="28"/>
          <w:szCs w:val="28"/>
          <w:rtl/>
        </w:rPr>
        <w:t>آیت‌الله</w:t>
      </w:r>
      <w:r w:rsidR="00D15473" w:rsidRPr="00D15473">
        <w:rPr>
          <w:rFonts w:cs="B Roya" w:hint="cs"/>
          <w:sz w:val="28"/>
          <w:szCs w:val="28"/>
          <w:rtl/>
        </w:rPr>
        <w:t xml:space="preserve"> مصباح، روش‌شناسی، علوم انسانی اسلامی، روش عقلی، روش تجربی، روش نقلی، روش شهودی</w:t>
      </w: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E5B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EE6B4" w14:textId="77777777" w:rsidR="00D1407D" w:rsidRDefault="00D1407D" w:rsidP="00874DF6">
      <w:pPr>
        <w:spacing w:after="0" w:line="240" w:lineRule="auto"/>
      </w:pPr>
      <w:r>
        <w:separator/>
      </w:r>
    </w:p>
  </w:endnote>
  <w:endnote w:type="continuationSeparator" w:id="0">
    <w:p w14:paraId="078A4153" w14:textId="77777777" w:rsidR="00D1407D" w:rsidRDefault="00D1407D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2D965" w14:textId="77777777" w:rsidR="00D1407D" w:rsidRDefault="00D1407D" w:rsidP="00874DF6">
      <w:pPr>
        <w:spacing w:after="0" w:line="240" w:lineRule="auto"/>
      </w:pPr>
      <w:r>
        <w:separator/>
      </w:r>
    </w:p>
  </w:footnote>
  <w:footnote w:type="continuationSeparator" w:id="0">
    <w:p w14:paraId="2A55FDE2" w14:textId="77777777" w:rsidR="00D1407D" w:rsidRDefault="00D1407D" w:rsidP="00874DF6">
      <w:pPr>
        <w:spacing w:after="0" w:line="240" w:lineRule="auto"/>
      </w:pPr>
      <w:r>
        <w:continuationSeparator/>
      </w:r>
    </w:p>
  </w:footnote>
  <w:footnote w:id="1">
    <w:p w14:paraId="46EA3EC6" w14:textId="2A18FE91" w:rsidR="00D64669" w:rsidRPr="00874DF6" w:rsidRDefault="00D64669" w:rsidP="00D15473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D15473">
        <w:rPr>
          <w:rFonts w:cs="B Roya" w:hint="cs"/>
          <w:rtl/>
        </w:rPr>
        <w:t>دانشیار</w:t>
      </w:r>
      <w:r>
        <w:rPr>
          <w:rFonts w:cs="B Roya" w:hint="cs"/>
          <w:rtl/>
        </w:rPr>
        <w:t xml:space="preserve"> </w:t>
      </w:r>
      <w:r w:rsidRPr="00874DF6">
        <w:rPr>
          <w:rFonts w:cs="B Roya" w:hint="cs"/>
          <w:rtl/>
        </w:rPr>
        <w:t>موسسه آموزشی و پژوهشی امام خمینی (ره)</w:t>
      </w:r>
      <w:r>
        <w:rPr>
          <w:rFonts w:cs="B Roya" w:hint="cs"/>
          <w:rtl/>
        </w:rPr>
        <w:t xml:space="preserve"> </w:t>
      </w:r>
      <w:r w:rsidR="00D15473" w:rsidRPr="00D15473">
        <w:rPr>
          <w:rFonts w:cs="B Roya"/>
        </w:rPr>
        <w:t>a-mesbah@iki.ac.ir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XEL">
    <w15:presenceInfo w15:providerId="None" w15:userId="PIX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4528D"/>
    <w:rsid w:val="00053AEE"/>
    <w:rsid w:val="00072849"/>
    <w:rsid w:val="0008769F"/>
    <w:rsid w:val="000A659C"/>
    <w:rsid w:val="000E06F1"/>
    <w:rsid w:val="0010363E"/>
    <w:rsid w:val="00173D12"/>
    <w:rsid w:val="0017758C"/>
    <w:rsid w:val="002518BA"/>
    <w:rsid w:val="00281EF1"/>
    <w:rsid w:val="00287A5D"/>
    <w:rsid w:val="00335346"/>
    <w:rsid w:val="00342DE5"/>
    <w:rsid w:val="00365520"/>
    <w:rsid w:val="0041150C"/>
    <w:rsid w:val="004304C3"/>
    <w:rsid w:val="00485F58"/>
    <w:rsid w:val="005107A3"/>
    <w:rsid w:val="00537B27"/>
    <w:rsid w:val="005564CC"/>
    <w:rsid w:val="005931DC"/>
    <w:rsid w:val="005D6B94"/>
    <w:rsid w:val="00617300"/>
    <w:rsid w:val="00641C1C"/>
    <w:rsid w:val="006F39B5"/>
    <w:rsid w:val="0071198D"/>
    <w:rsid w:val="007B3784"/>
    <w:rsid w:val="007B4551"/>
    <w:rsid w:val="007C13FC"/>
    <w:rsid w:val="007E094B"/>
    <w:rsid w:val="007E5BA3"/>
    <w:rsid w:val="0082152D"/>
    <w:rsid w:val="008279C1"/>
    <w:rsid w:val="00874DF6"/>
    <w:rsid w:val="008758AA"/>
    <w:rsid w:val="00882128"/>
    <w:rsid w:val="008B6EBC"/>
    <w:rsid w:val="00904705"/>
    <w:rsid w:val="00964AE6"/>
    <w:rsid w:val="00964B1F"/>
    <w:rsid w:val="009D63EB"/>
    <w:rsid w:val="00A603FD"/>
    <w:rsid w:val="00A837F8"/>
    <w:rsid w:val="00AD1BAD"/>
    <w:rsid w:val="00AE3249"/>
    <w:rsid w:val="00AF5C97"/>
    <w:rsid w:val="00B124EB"/>
    <w:rsid w:val="00B23FAB"/>
    <w:rsid w:val="00B344B3"/>
    <w:rsid w:val="00B62680"/>
    <w:rsid w:val="00C06EDD"/>
    <w:rsid w:val="00C2582D"/>
    <w:rsid w:val="00C456AE"/>
    <w:rsid w:val="00C861DD"/>
    <w:rsid w:val="00CA495D"/>
    <w:rsid w:val="00CB3176"/>
    <w:rsid w:val="00CD4017"/>
    <w:rsid w:val="00D1407D"/>
    <w:rsid w:val="00D15473"/>
    <w:rsid w:val="00D15BB5"/>
    <w:rsid w:val="00D23074"/>
    <w:rsid w:val="00D57139"/>
    <w:rsid w:val="00D64669"/>
    <w:rsid w:val="00DA3F10"/>
    <w:rsid w:val="00DC6251"/>
    <w:rsid w:val="00DD1045"/>
    <w:rsid w:val="00E70477"/>
    <w:rsid w:val="00E9665A"/>
    <w:rsid w:val="00EC6355"/>
    <w:rsid w:val="00EF67A7"/>
    <w:rsid w:val="00F21B5A"/>
    <w:rsid w:val="00F40D6C"/>
    <w:rsid w:val="00F47468"/>
    <w:rsid w:val="00F56020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7EEE5CC-E580-405E-8E0F-02ECDDA6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4</cp:revision>
  <dcterms:created xsi:type="dcterms:W3CDTF">2022-08-16T14:59:00Z</dcterms:created>
  <dcterms:modified xsi:type="dcterms:W3CDTF">2022-08-17T14:22:00Z</dcterms:modified>
</cp:coreProperties>
</file>